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0"/>
        <w:gridCol w:w="534"/>
        <w:gridCol w:w="109"/>
        <w:gridCol w:w="425"/>
        <w:gridCol w:w="174"/>
        <w:gridCol w:w="709"/>
        <w:gridCol w:w="338"/>
        <w:gridCol w:w="374"/>
        <w:gridCol w:w="563"/>
        <w:gridCol w:w="136"/>
        <w:gridCol w:w="10"/>
        <w:gridCol w:w="139"/>
        <w:gridCol w:w="570"/>
        <w:gridCol w:w="83"/>
        <w:gridCol w:w="626"/>
        <w:gridCol w:w="241"/>
        <w:gridCol w:w="71"/>
        <w:gridCol w:w="392"/>
        <w:gridCol w:w="145"/>
        <w:gridCol w:w="400"/>
        <w:gridCol w:w="163"/>
        <w:gridCol w:w="156"/>
        <w:gridCol w:w="553"/>
        <w:gridCol w:w="66"/>
        <w:gridCol w:w="643"/>
        <w:gridCol w:w="295"/>
        <w:gridCol w:w="413"/>
        <w:gridCol w:w="1019"/>
        <w:gridCol w:w="10"/>
      </w:tblGrid>
      <w:tr w:rsidR="006A701A" w:rsidRPr="008B4FE6" w:rsidTr="00E87163">
        <w:trPr>
          <w:gridAfter w:val="1"/>
          <w:wAfter w:w="10" w:type="dxa"/>
          <w:trHeight w:val="1611"/>
        </w:trPr>
        <w:tc>
          <w:tcPr>
            <w:tcW w:w="6621" w:type="dxa"/>
            <w:gridSpan w:val="16"/>
          </w:tcPr>
          <w:p w:rsidR="006A701A" w:rsidRPr="008B4FE6" w:rsidRDefault="006A701A" w:rsidP="00616511">
            <w:pPr>
              <w:spacing w:before="120" w:line="240" w:lineRule="auto"/>
              <w:ind w:hanging="45"/>
              <w:rPr>
                <w:rFonts w:ascii="Times New Roman" w:hAnsi="Times New Roman"/>
                <w:color w:val="000000"/>
              </w:rPr>
            </w:pPr>
            <w:bookmarkStart w:id="0" w:name="_GoBack"/>
            <w:bookmarkStart w:id="1" w:name="t1"/>
            <w:bookmarkEnd w:id="0"/>
            <w:r w:rsidRPr="008B4FE6">
              <w:rPr>
                <w:rFonts w:ascii="Times New Roman" w:hAnsi="Times New Roman"/>
                <w:b/>
                <w:color w:val="000000"/>
              </w:rPr>
              <w:t xml:space="preserve">Nazwa </w:t>
            </w:r>
            <w:r w:rsidR="001B75D8">
              <w:rPr>
                <w:rFonts w:ascii="Times New Roman" w:hAnsi="Times New Roman"/>
                <w:b/>
                <w:color w:val="000000"/>
              </w:rPr>
              <w:t>projektu</w:t>
            </w:r>
          </w:p>
          <w:p w:rsidR="00831D15" w:rsidRDefault="00831D15" w:rsidP="00831D15">
            <w:pPr>
              <w:spacing w:line="240" w:lineRule="auto"/>
              <w:ind w:hanging="34"/>
              <w:rPr>
                <w:rFonts w:ascii="Times New Roman" w:hAnsi="Times New Roman"/>
                <w:color w:val="000000"/>
              </w:rPr>
            </w:pPr>
            <w:r>
              <w:rPr>
                <w:rFonts w:ascii="Times New Roman" w:hAnsi="Times New Roman"/>
                <w:color w:val="000000"/>
              </w:rPr>
              <w:t xml:space="preserve">Projekt ustawy o zmianie ustawy o postępowaniu egzekucyjnym </w:t>
            </w:r>
            <w:r w:rsidR="00ED1205">
              <w:rPr>
                <w:rFonts w:ascii="Times New Roman" w:hAnsi="Times New Roman"/>
                <w:color w:val="000000"/>
              </w:rPr>
              <w:br/>
            </w:r>
            <w:r>
              <w:rPr>
                <w:rFonts w:ascii="Times New Roman" w:hAnsi="Times New Roman"/>
                <w:color w:val="000000"/>
              </w:rPr>
              <w:t xml:space="preserve">w administracji </w:t>
            </w:r>
            <w:r w:rsidR="003E06AA">
              <w:rPr>
                <w:rFonts w:ascii="Times New Roman" w:hAnsi="Times New Roman"/>
                <w:color w:val="000000"/>
              </w:rPr>
              <w:t>oraz o zmianie ustawy o kosztach sądowych w sprawach cywilnych</w:t>
            </w:r>
          </w:p>
          <w:p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p>
          <w:bookmarkEnd w:id="1"/>
          <w:p w:rsidR="00831D15" w:rsidRDefault="005A61AB" w:rsidP="001B3460">
            <w:pPr>
              <w:spacing w:line="240" w:lineRule="auto"/>
              <w:rPr>
                <w:rFonts w:ascii="Times New Roman" w:hAnsi="Times New Roman"/>
                <w:color w:val="000000"/>
              </w:rPr>
            </w:pPr>
            <w:r>
              <w:rPr>
                <w:rFonts w:ascii="Times New Roman" w:hAnsi="Times New Roman"/>
                <w:color w:val="000000"/>
              </w:rPr>
              <w:t xml:space="preserve">Ministerstwo </w:t>
            </w:r>
            <w:r w:rsidR="00831D15">
              <w:rPr>
                <w:rFonts w:ascii="Times New Roman" w:hAnsi="Times New Roman"/>
                <w:color w:val="000000"/>
              </w:rPr>
              <w:t>Finansów</w:t>
            </w:r>
          </w:p>
          <w:p w:rsidR="00831D15" w:rsidRDefault="00831D15" w:rsidP="001B3460">
            <w:pPr>
              <w:spacing w:line="240" w:lineRule="auto"/>
              <w:rPr>
                <w:rFonts w:ascii="Times New Roman" w:hAnsi="Times New Roman"/>
                <w:b/>
                <w:sz w:val="21"/>
                <w:szCs w:val="24"/>
              </w:rPr>
            </w:pPr>
          </w:p>
          <w:p w:rsidR="001B3460" w:rsidRDefault="001B3460" w:rsidP="001B3460">
            <w:pPr>
              <w:spacing w:line="240" w:lineRule="auto"/>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r w:rsidRPr="00642825">
              <w:rPr>
                <w:rFonts w:ascii="Times New Roman" w:hAnsi="Times New Roman"/>
                <w:b/>
                <w:sz w:val="21"/>
                <w:szCs w:val="21"/>
              </w:rPr>
              <w:t xml:space="preserve"> </w:t>
            </w:r>
          </w:p>
          <w:p w:rsidR="00831D15" w:rsidRPr="0086398C" w:rsidRDefault="005B4D52" w:rsidP="00831D15">
            <w:pPr>
              <w:spacing w:line="240" w:lineRule="auto"/>
              <w:rPr>
                <w:rFonts w:ascii="Times New Roman" w:hAnsi="Times New Roman"/>
                <w:color w:val="000000"/>
              </w:rPr>
            </w:pPr>
            <w:r>
              <w:rPr>
                <w:rFonts w:ascii="Times New Roman" w:hAnsi="Times New Roman"/>
                <w:color w:val="000000"/>
              </w:rPr>
              <w:t>Paweł Gruza</w:t>
            </w:r>
            <w:r w:rsidR="00831D15">
              <w:rPr>
                <w:rFonts w:ascii="Times New Roman" w:hAnsi="Times New Roman"/>
                <w:color w:val="000000"/>
              </w:rPr>
              <w:t xml:space="preserve"> </w:t>
            </w:r>
            <w:r>
              <w:rPr>
                <w:rFonts w:ascii="Times New Roman" w:hAnsi="Times New Roman"/>
                <w:color w:val="000000"/>
              </w:rPr>
              <w:t>Pods</w:t>
            </w:r>
            <w:r w:rsidR="00831D15">
              <w:rPr>
                <w:rFonts w:ascii="Times New Roman" w:hAnsi="Times New Roman"/>
                <w:color w:val="000000"/>
              </w:rPr>
              <w:t xml:space="preserve">ekretarz Stanu  </w:t>
            </w:r>
          </w:p>
          <w:p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Kontakt do opiekuna merytorycznego projektu</w:t>
            </w:r>
          </w:p>
          <w:p w:rsidR="00D454DC" w:rsidRDefault="001E6147" w:rsidP="00831D15">
            <w:pPr>
              <w:spacing w:line="240" w:lineRule="auto"/>
              <w:ind w:hanging="34"/>
              <w:rPr>
                <w:rFonts w:ascii="Times New Roman" w:hAnsi="Times New Roman"/>
                <w:color w:val="000000"/>
              </w:rPr>
            </w:pPr>
            <w:r>
              <w:rPr>
                <w:rFonts w:ascii="Times New Roman" w:hAnsi="Times New Roman"/>
                <w:color w:val="000000"/>
              </w:rPr>
              <w:t>Jerzy Owczarek</w:t>
            </w:r>
            <w:r w:rsidR="001E6670">
              <w:rPr>
                <w:rFonts w:ascii="Times New Roman" w:hAnsi="Times New Roman"/>
                <w:color w:val="000000"/>
              </w:rPr>
              <w:t xml:space="preserve"> </w:t>
            </w:r>
            <w:r w:rsidR="00D454DC">
              <w:rPr>
                <w:rFonts w:ascii="Times New Roman" w:hAnsi="Times New Roman"/>
                <w:color w:val="000000"/>
              </w:rPr>
              <w:t xml:space="preserve"> </w:t>
            </w:r>
          </w:p>
          <w:p w:rsidR="00831D15" w:rsidRDefault="00D454DC" w:rsidP="00831D15">
            <w:pPr>
              <w:spacing w:line="240" w:lineRule="auto"/>
              <w:ind w:hanging="34"/>
              <w:rPr>
                <w:rFonts w:ascii="Times New Roman" w:hAnsi="Times New Roman"/>
                <w:color w:val="000000"/>
              </w:rPr>
            </w:pPr>
            <w:r>
              <w:rPr>
                <w:rFonts w:ascii="Times New Roman" w:hAnsi="Times New Roman"/>
                <w:color w:val="000000"/>
              </w:rPr>
              <w:t xml:space="preserve">Zastępca Dyrektora </w:t>
            </w:r>
            <w:r w:rsidR="00A72C29">
              <w:rPr>
                <w:rFonts w:ascii="Times New Roman" w:hAnsi="Times New Roman"/>
                <w:color w:val="000000"/>
              </w:rPr>
              <w:t>Departamen</w:t>
            </w:r>
            <w:r>
              <w:rPr>
                <w:rFonts w:ascii="Times New Roman" w:hAnsi="Times New Roman"/>
                <w:color w:val="000000"/>
              </w:rPr>
              <w:t xml:space="preserve">tu </w:t>
            </w:r>
            <w:r w:rsidR="001E6147">
              <w:rPr>
                <w:rFonts w:ascii="Times New Roman" w:hAnsi="Times New Roman"/>
                <w:color w:val="000000"/>
              </w:rPr>
              <w:t>Systemu Podatkowego</w:t>
            </w:r>
            <w:r w:rsidR="00A72C29">
              <w:rPr>
                <w:rFonts w:ascii="Times New Roman" w:hAnsi="Times New Roman"/>
                <w:color w:val="000000"/>
              </w:rPr>
              <w:t xml:space="preserve"> </w:t>
            </w:r>
          </w:p>
          <w:p w:rsidR="00831D15" w:rsidRPr="001E6670" w:rsidRDefault="00ED1205" w:rsidP="00831D15">
            <w:pPr>
              <w:spacing w:line="240" w:lineRule="auto"/>
              <w:ind w:hanging="34"/>
              <w:rPr>
                <w:rFonts w:ascii="Times New Roman" w:hAnsi="Times New Roman"/>
                <w:color w:val="000000"/>
                <w:lang w:val="en-US"/>
              </w:rPr>
            </w:pPr>
            <w:r w:rsidRPr="001E6670">
              <w:rPr>
                <w:rFonts w:ascii="Times New Roman" w:hAnsi="Times New Roman"/>
                <w:color w:val="000000"/>
                <w:lang w:val="en-US"/>
              </w:rPr>
              <w:t>t</w:t>
            </w:r>
            <w:r w:rsidR="00831D15" w:rsidRPr="001E6670">
              <w:rPr>
                <w:rFonts w:ascii="Times New Roman" w:hAnsi="Times New Roman"/>
                <w:color w:val="000000"/>
                <w:lang w:val="en-US"/>
              </w:rPr>
              <w:t>el. 22</w:t>
            </w:r>
            <w:r w:rsidR="001E6670" w:rsidRPr="001E6670">
              <w:rPr>
                <w:rFonts w:ascii="Times New Roman" w:hAnsi="Times New Roman"/>
                <w:color w:val="000000"/>
                <w:lang w:val="en-US"/>
              </w:rPr>
              <w:t> </w:t>
            </w:r>
            <w:r w:rsidR="00831D15" w:rsidRPr="001E6670">
              <w:rPr>
                <w:rFonts w:ascii="Times New Roman" w:hAnsi="Times New Roman"/>
                <w:color w:val="000000"/>
                <w:lang w:val="en-US"/>
              </w:rPr>
              <w:t>694</w:t>
            </w:r>
            <w:r w:rsidR="001E6670" w:rsidRPr="001E6670">
              <w:rPr>
                <w:rFonts w:ascii="Times New Roman" w:hAnsi="Times New Roman"/>
                <w:color w:val="000000"/>
                <w:lang w:val="en-US"/>
              </w:rPr>
              <w:t xml:space="preserve"> </w:t>
            </w:r>
            <w:r w:rsidR="00FF311B">
              <w:rPr>
                <w:rFonts w:ascii="Times New Roman" w:hAnsi="Times New Roman"/>
                <w:color w:val="000000"/>
                <w:lang w:val="en-US"/>
              </w:rPr>
              <w:t>38 86</w:t>
            </w:r>
          </w:p>
          <w:p w:rsidR="006A701A" w:rsidRPr="00A72C29" w:rsidRDefault="00A72C29" w:rsidP="006B32AA">
            <w:pPr>
              <w:spacing w:line="240" w:lineRule="auto"/>
              <w:ind w:hanging="34"/>
              <w:rPr>
                <w:rFonts w:ascii="Times New Roman" w:hAnsi="Times New Roman"/>
                <w:color w:val="000000"/>
                <w:lang w:val="en-US"/>
              </w:rPr>
            </w:pPr>
            <w:r w:rsidRPr="00A72C29">
              <w:rPr>
                <w:rFonts w:ascii="Times New Roman" w:hAnsi="Times New Roman"/>
                <w:color w:val="000000"/>
                <w:lang w:val="en-US"/>
              </w:rPr>
              <w:t xml:space="preserve">e-mail: </w:t>
            </w:r>
            <w:hyperlink r:id="rId7" w:history="1">
              <w:r w:rsidR="006B32AA" w:rsidRPr="000B57D5">
                <w:rPr>
                  <w:rStyle w:val="Hipercze"/>
                  <w:rFonts w:ascii="Times New Roman" w:hAnsi="Times New Roman"/>
                  <w:lang w:val="en-US"/>
                </w:rPr>
                <w:t>jerzy.owczarek@mf.gov.pl</w:t>
              </w:r>
            </w:hyperlink>
            <w:r w:rsidR="006B32AA">
              <w:rPr>
                <w:rFonts w:ascii="Times New Roman" w:hAnsi="Times New Roman"/>
                <w:color w:val="000000"/>
                <w:lang w:val="en-US"/>
              </w:rPr>
              <w:t xml:space="preserve"> </w:t>
            </w:r>
          </w:p>
        </w:tc>
        <w:tc>
          <w:tcPr>
            <w:tcW w:w="4316" w:type="dxa"/>
            <w:gridSpan w:val="12"/>
            <w:shd w:val="clear" w:color="auto" w:fill="FFFFFF"/>
          </w:tcPr>
          <w:p w:rsidR="00F76884" w:rsidRDefault="001B3460" w:rsidP="00F76884">
            <w:pPr>
              <w:spacing w:line="240" w:lineRule="auto"/>
              <w:rPr>
                <w:rFonts w:ascii="Times New Roman" w:hAnsi="Times New Roman"/>
                <w:b/>
              </w:rPr>
            </w:pPr>
            <w:r w:rsidRPr="00642825">
              <w:rPr>
                <w:rFonts w:ascii="Times New Roman" w:hAnsi="Times New Roman"/>
                <w:b/>
                <w:sz w:val="21"/>
                <w:szCs w:val="21"/>
              </w:rPr>
              <w:t>Data sporządzenia</w:t>
            </w:r>
            <w:r w:rsidRPr="00642825">
              <w:rPr>
                <w:rFonts w:ascii="Times New Roman" w:hAnsi="Times New Roman"/>
                <w:b/>
                <w:sz w:val="21"/>
                <w:szCs w:val="21"/>
              </w:rPr>
              <w:br/>
            </w:r>
            <w:r w:rsidR="004B2594">
              <w:rPr>
                <w:rFonts w:ascii="Times New Roman" w:hAnsi="Times New Roman"/>
                <w:b/>
              </w:rPr>
              <w:t>13.03</w:t>
            </w:r>
            <w:r w:rsidR="00BB66CC">
              <w:rPr>
                <w:rFonts w:ascii="Times New Roman" w:hAnsi="Times New Roman"/>
                <w:b/>
              </w:rPr>
              <w:t>.2018 r.</w:t>
            </w:r>
          </w:p>
          <w:p w:rsidR="00F76884" w:rsidRPr="0065019F" w:rsidRDefault="00F76884" w:rsidP="00F76884">
            <w:pPr>
              <w:spacing w:line="240" w:lineRule="auto"/>
              <w:rPr>
                <w:rFonts w:ascii="Times New Roman" w:hAnsi="Times New Roman"/>
                <w:b/>
              </w:rPr>
            </w:pPr>
            <w:r w:rsidRPr="0065019F">
              <w:rPr>
                <w:rFonts w:ascii="Times New Roman" w:hAnsi="Times New Roman"/>
                <w:b/>
              </w:rPr>
              <w:t xml:space="preserve">Źródło: </w:t>
            </w:r>
            <w:bookmarkStart w:id="2" w:name="Lista1"/>
          </w:p>
          <w:bookmarkEnd w:id="2" w:displacedByCustomXml="next"/>
          <w:sdt>
            <w:sdtPr>
              <w:rPr>
                <w:rFonts w:ascii="Times New Roman" w:hAnsi="Times New Roman"/>
              </w:rPr>
              <w:id w:val="-1451614635"/>
              <w:placeholder>
                <w:docPart w:val="DefaultPlaceholder_1082065159"/>
              </w:placeholde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Content>
              <w:p w:rsidR="00F76884" w:rsidRPr="00EF290C" w:rsidRDefault="00831D15" w:rsidP="00F76884">
                <w:pPr>
                  <w:spacing w:line="240" w:lineRule="auto"/>
                  <w:rPr>
                    <w:rFonts w:ascii="Times New Roman" w:hAnsi="Times New Roman"/>
                  </w:rPr>
                </w:pPr>
                <w:r>
                  <w:rPr>
                    <w:rFonts w:ascii="Times New Roman" w:hAnsi="Times New Roman"/>
                  </w:rPr>
                  <w:t>Orzeczenie TK</w:t>
                </w:r>
              </w:p>
            </w:sdtContent>
          </w:sdt>
          <w:p w:rsidR="00BA2BB7" w:rsidRPr="0065019F" w:rsidRDefault="00BA2BB7" w:rsidP="00F76884">
            <w:pPr>
              <w:spacing w:line="240" w:lineRule="auto"/>
              <w:rPr>
                <w:rFonts w:ascii="Times New Roman" w:hAnsi="Times New Roman"/>
              </w:rPr>
            </w:pPr>
          </w:p>
          <w:p w:rsidR="00F76884" w:rsidRPr="0065019F" w:rsidRDefault="00F76884" w:rsidP="00F76884">
            <w:pPr>
              <w:spacing w:line="240" w:lineRule="auto"/>
              <w:rPr>
                <w:rFonts w:ascii="Times New Roman" w:hAnsi="Times New Roman"/>
              </w:rPr>
            </w:pPr>
          </w:p>
          <w:p w:rsidR="006A701A" w:rsidRPr="00831D15" w:rsidRDefault="006A701A" w:rsidP="00831D15">
            <w:pPr>
              <w:spacing w:before="120" w:line="240" w:lineRule="auto"/>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Pr="008B4FE6">
              <w:rPr>
                <w:rFonts w:ascii="Times New Roman" w:hAnsi="Times New Roman"/>
                <w:b/>
                <w:color w:val="000000"/>
              </w:rPr>
              <w:t xml:space="preserve"> prac </w:t>
            </w:r>
          </w:p>
          <w:p w:rsidR="006A701A" w:rsidRPr="000C3BC9" w:rsidRDefault="000C3BC9" w:rsidP="00A17CB2">
            <w:pPr>
              <w:spacing w:line="240" w:lineRule="auto"/>
              <w:rPr>
                <w:rFonts w:ascii="Times New Roman" w:hAnsi="Times New Roman"/>
                <w:color w:val="000000"/>
              </w:rPr>
            </w:pPr>
            <w:r w:rsidRPr="000C3BC9">
              <w:rPr>
                <w:rFonts w:ascii="Times New Roman" w:hAnsi="Times New Roman"/>
                <w:color w:val="000000"/>
              </w:rPr>
              <w:t>UB14</w:t>
            </w:r>
          </w:p>
        </w:tc>
      </w:tr>
      <w:tr w:rsidR="006A701A" w:rsidRPr="0022687A" w:rsidTr="00676C8D">
        <w:trPr>
          <w:gridAfter w:val="1"/>
          <w:wAfter w:w="10" w:type="dxa"/>
          <w:trHeight w:val="142"/>
        </w:trPr>
        <w:tc>
          <w:tcPr>
            <w:tcW w:w="10937" w:type="dxa"/>
            <w:gridSpan w:val="28"/>
            <w:shd w:val="clear" w:color="auto" w:fill="99CCFF"/>
          </w:tcPr>
          <w:p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rsidTr="00676C8D">
        <w:trPr>
          <w:gridAfter w:val="1"/>
          <w:wAfter w:w="10" w:type="dxa"/>
          <w:trHeight w:val="333"/>
        </w:trPr>
        <w:tc>
          <w:tcPr>
            <w:tcW w:w="10937" w:type="dxa"/>
            <w:gridSpan w:val="28"/>
            <w:shd w:val="clear" w:color="auto" w:fill="99CCFF"/>
            <w:vAlign w:val="center"/>
          </w:tcPr>
          <w:p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3" w:name="Wybór1"/>
            <w:bookmarkEnd w:id="3"/>
          </w:p>
        </w:tc>
      </w:tr>
      <w:tr w:rsidR="006A701A" w:rsidRPr="008B4FE6" w:rsidTr="00676C8D">
        <w:trPr>
          <w:gridAfter w:val="1"/>
          <w:wAfter w:w="10" w:type="dxa"/>
          <w:trHeight w:val="142"/>
        </w:trPr>
        <w:tc>
          <w:tcPr>
            <w:tcW w:w="10937" w:type="dxa"/>
            <w:gridSpan w:val="28"/>
            <w:shd w:val="clear" w:color="auto" w:fill="FFFFFF"/>
          </w:tcPr>
          <w:p w:rsidR="00831D15" w:rsidRPr="00A60CE6" w:rsidRDefault="00831D15" w:rsidP="00831D15">
            <w:pPr>
              <w:spacing w:line="240" w:lineRule="auto"/>
              <w:jc w:val="both"/>
              <w:rPr>
                <w:rFonts w:ascii="Times New Roman" w:hAnsi="Times New Roman"/>
                <w:color w:val="000000"/>
              </w:rPr>
            </w:pPr>
            <w:r w:rsidRPr="00A60CE6">
              <w:rPr>
                <w:rFonts w:ascii="Times New Roman" w:hAnsi="Times New Roman"/>
                <w:color w:val="000000"/>
              </w:rPr>
              <w:t xml:space="preserve">Wyrokiem z dnia 28 czerwca 2016 r. sygn. akt SK 31/14 (Dz. U. poz. 1244) Trybunał Konstytucyjny orzekł </w:t>
            </w:r>
            <w:r w:rsidR="00D454DC">
              <w:rPr>
                <w:rFonts w:ascii="Times New Roman" w:hAnsi="Times New Roman"/>
                <w:color w:val="000000"/>
              </w:rPr>
              <w:br/>
            </w:r>
            <w:r w:rsidRPr="00A60CE6">
              <w:rPr>
                <w:rFonts w:ascii="Times New Roman" w:hAnsi="Times New Roman"/>
                <w:color w:val="000000"/>
              </w:rPr>
              <w:t>o nie</w:t>
            </w:r>
            <w:r w:rsidR="005A61AB">
              <w:rPr>
                <w:rFonts w:ascii="Times New Roman" w:hAnsi="Times New Roman"/>
                <w:color w:val="000000"/>
              </w:rPr>
              <w:t>z</w:t>
            </w:r>
            <w:r w:rsidRPr="00A60CE6">
              <w:rPr>
                <w:rFonts w:ascii="Times New Roman" w:hAnsi="Times New Roman"/>
                <w:color w:val="000000"/>
              </w:rPr>
              <w:t>godności z art. 2 Konstytucji R</w:t>
            </w:r>
            <w:r w:rsidR="005A61AB">
              <w:rPr>
                <w:rFonts w:ascii="Times New Roman" w:hAnsi="Times New Roman"/>
                <w:color w:val="000000"/>
              </w:rPr>
              <w:t>P przepisu</w:t>
            </w:r>
            <w:r w:rsidRPr="00A60CE6">
              <w:rPr>
                <w:rFonts w:ascii="Times New Roman" w:hAnsi="Times New Roman"/>
                <w:color w:val="000000"/>
              </w:rPr>
              <w:t xml:space="preserve"> art. 64 § 1 pkt 4 </w:t>
            </w:r>
            <w:r w:rsidR="00D81625">
              <w:rPr>
                <w:rFonts w:ascii="Times New Roman" w:hAnsi="Times New Roman"/>
                <w:color w:val="000000"/>
              </w:rPr>
              <w:t xml:space="preserve">i § 6 </w:t>
            </w:r>
            <w:r w:rsidRPr="00A60CE6">
              <w:rPr>
                <w:rFonts w:ascii="Times New Roman" w:hAnsi="Times New Roman"/>
                <w:color w:val="000000"/>
              </w:rPr>
              <w:t>ustawy z dnia 17 czerwca 1966 r.</w:t>
            </w:r>
            <w:r w:rsidR="00D81625">
              <w:rPr>
                <w:rFonts w:ascii="Times New Roman" w:hAnsi="Times New Roman"/>
                <w:color w:val="000000"/>
              </w:rPr>
              <w:t xml:space="preserve"> </w:t>
            </w:r>
            <w:r w:rsidRPr="00A60CE6">
              <w:rPr>
                <w:rFonts w:ascii="Times New Roman" w:hAnsi="Times New Roman"/>
                <w:color w:val="000000"/>
              </w:rPr>
              <w:t>o postępowaniu egzekucyjnym w administracji (Dz. U. z 201</w:t>
            </w:r>
            <w:r w:rsidR="001135A6">
              <w:rPr>
                <w:rFonts w:ascii="Times New Roman" w:hAnsi="Times New Roman"/>
                <w:color w:val="000000"/>
              </w:rPr>
              <w:t>7</w:t>
            </w:r>
            <w:r w:rsidRPr="00A60CE6">
              <w:rPr>
                <w:rFonts w:ascii="Times New Roman" w:hAnsi="Times New Roman"/>
                <w:color w:val="000000"/>
              </w:rPr>
              <w:t xml:space="preserve"> r. poz. </w:t>
            </w:r>
            <w:r w:rsidR="001135A6">
              <w:rPr>
                <w:rFonts w:ascii="Times New Roman" w:hAnsi="Times New Roman"/>
                <w:color w:val="000000"/>
              </w:rPr>
              <w:t>1201</w:t>
            </w:r>
            <w:r w:rsidRPr="00A60CE6">
              <w:rPr>
                <w:rFonts w:ascii="Times New Roman" w:hAnsi="Times New Roman"/>
                <w:color w:val="000000"/>
              </w:rPr>
              <w:t>), zwan</w:t>
            </w:r>
            <w:r w:rsidR="005A61AB">
              <w:rPr>
                <w:rFonts w:ascii="Times New Roman" w:hAnsi="Times New Roman"/>
                <w:color w:val="000000"/>
              </w:rPr>
              <w:t>ej</w:t>
            </w:r>
            <w:r w:rsidRPr="00A60CE6">
              <w:rPr>
                <w:rFonts w:ascii="Times New Roman" w:hAnsi="Times New Roman"/>
                <w:color w:val="000000"/>
              </w:rPr>
              <w:t xml:space="preserve"> dalej „u.p.e.a.”</w:t>
            </w:r>
            <w:r w:rsidR="00E50135">
              <w:rPr>
                <w:rFonts w:ascii="Times New Roman" w:hAnsi="Times New Roman"/>
                <w:color w:val="000000"/>
              </w:rPr>
              <w:t>,</w:t>
            </w:r>
            <w:r w:rsidR="00D81625">
              <w:rPr>
                <w:rFonts w:ascii="Times New Roman" w:hAnsi="Times New Roman"/>
                <w:color w:val="000000"/>
              </w:rPr>
              <w:t xml:space="preserve"> </w:t>
            </w:r>
            <w:r w:rsidRPr="00A60CE6">
              <w:rPr>
                <w:rFonts w:ascii="Times New Roman" w:hAnsi="Times New Roman"/>
                <w:color w:val="000000"/>
              </w:rPr>
              <w:t>w zakresie, w jakim nie określa</w:t>
            </w:r>
            <w:r w:rsidR="00D81625">
              <w:rPr>
                <w:rFonts w:ascii="Times New Roman" w:hAnsi="Times New Roman"/>
                <w:color w:val="000000"/>
              </w:rPr>
              <w:t>ją</w:t>
            </w:r>
            <w:r w:rsidRPr="00A60CE6">
              <w:rPr>
                <w:rFonts w:ascii="Times New Roman" w:hAnsi="Times New Roman"/>
                <w:color w:val="000000"/>
              </w:rPr>
              <w:t xml:space="preserve"> maksymalnej wysokości </w:t>
            </w:r>
            <w:r w:rsidR="00D81625">
              <w:rPr>
                <w:rFonts w:ascii="Times New Roman" w:hAnsi="Times New Roman"/>
                <w:color w:val="000000"/>
              </w:rPr>
              <w:t xml:space="preserve">odpowiednio </w:t>
            </w:r>
            <w:r w:rsidRPr="00A60CE6">
              <w:rPr>
                <w:rFonts w:ascii="Times New Roman" w:hAnsi="Times New Roman"/>
                <w:color w:val="000000"/>
              </w:rPr>
              <w:t>opłaty za czynności egzekucyjne</w:t>
            </w:r>
            <w:r w:rsidR="00D81625">
              <w:rPr>
                <w:rFonts w:ascii="Times New Roman" w:hAnsi="Times New Roman"/>
                <w:color w:val="000000"/>
              </w:rPr>
              <w:t xml:space="preserve"> oraz opłaty manipulacyjnej, a także a</w:t>
            </w:r>
            <w:r w:rsidRPr="00A60CE6">
              <w:rPr>
                <w:rFonts w:ascii="Times New Roman" w:hAnsi="Times New Roman"/>
                <w:color w:val="000000"/>
              </w:rPr>
              <w:t>rt. 64 § 8</w:t>
            </w:r>
            <w:r w:rsidR="00D81625">
              <w:rPr>
                <w:rFonts w:ascii="Times New Roman" w:hAnsi="Times New Roman"/>
                <w:color w:val="000000"/>
              </w:rPr>
              <w:t xml:space="preserve"> </w:t>
            </w:r>
            <w:r w:rsidRPr="00A60CE6">
              <w:rPr>
                <w:rFonts w:ascii="Times New Roman" w:hAnsi="Times New Roman"/>
                <w:color w:val="000000"/>
              </w:rPr>
              <w:t>u.p.e.a. w zakresie,</w:t>
            </w:r>
            <w:r w:rsidR="00D81625">
              <w:rPr>
                <w:rFonts w:ascii="Times New Roman" w:hAnsi="Times New Roman"/>
                <w:color w:val="000000"/>
              </w:rPr>
              <w:t xml:space="preserve"> </w:t>
            </w:r>
            <w:r w:rsidRPr="00A60CE6">
              <w:rPr>
                <w:rFonts w:ascii="Times New Roman" w:hAnsi="Times New Roman"/>
                <w:color w:val="000000"/>
              </w:rPr>
              <w:t>w jakim nie przewiduje możliwości obniżenia opłaty</w:t>
            </w:r>
            <w:r w:rsidR="00D81625">
              <w:rPr>
                <w:rFonts w:ascii="Times New Roman" w:hAnsi="Times New Roman"/>
                <w:color w:val="000000"/>
              </w:rPr>
              <w:t xml:space="preserve"> za czynności egzekucyjne</w:t>
            </w:r>
            <w:r w:rsidRPr="00A60CE6">
              <w:rPr>
                <w:rFonts w:ascii="Times New Roman" w:hAnsi="Times New Roman"/>
                <w:color w:val="000000"/>
              </w:rPr>
              <w:t xml:space="preserve"> oraz opłaty manipulacyjnej w razie umorzenia postępowania z uwagi na dobrowolną zapłatę egzekwowanej należności po dokonaniu czynności egzekucyjnych. </w:t>
            </w:r>
          </w:p>
          <w:p w:rsidR="006A701A" w:rsidRPr="00B37C80" w:rsidRDefault="00831D15" w:rsidP="00AD6FF4">
            <w:pPr>
              <w:spacing w:line="240" w:lineRule="auto"/>
              <w:jc w:val="both"/>
              <w:rPr>
                <w:rFonts w:ascii="Times New Roman" w:hAnsi="Times New Roman"/>
                <w:color w:val="000000"/>
              </w:rPr>
            </w:pPr>
            <w:r w:rsidRPr="00A60CE6">
              <w:rPr>
                <w:rFonts w:ascii="Times New Roman" w:hAnsi="Times New Roman"/>
                <w:color w:val="000000"/>
              </w:rPr>
              <w:t xml:space="preserve">W skutkach wyroku Trybunał Konstytucyjny wskazał, że dla właściwej realizacji </w:t>
            </w:r>
            <w:r w:rsidRPr="00A60CE6">
              <w:rPr>
                <w:rFonts w:ascii="Times New Roman" w:eastAsia="Times New Roman" w:hAnsi="Times New Roman"/>
                <w:lang w:eastAsia="pl-PL"/>
              </w:rPr>
              <w:t xml:space="preserve">wyroku konieczna jest </w:t>
            </w:r>
            <w:r w:rsidRPr="00417ECC">
              <w:rPr>
                <w:rFonts w:ascii="Times New Roman" w:hAnsi="Times New Roman"/>
                <w:color w:val="000000"/>
              </w:rPr>
              <w:t>interwencja ustawodawcy, który powinien, w granicach norm konstytucyjnych</w:t>
            </w:r>
            <w:r w:rsidR="005A61AB" w:rsidRPr="00417ECC">
              <w:rPr>
                <w:rFonts w:ascii="Times New Roman" w:hAnsi="Times New Roman"/>
                <w:color w:val="000000"/>
              </w:rPr>
              <w:t xml:space="preserve"> </w:t>
            </w:r>
            <w:r w:rsidRPr="00417ECC">
              <w:rPr>
                <w:rFonts w:ascii="Times New Roman" w:hAnsi="Times New Roman"/>
                <w:color w:val="000000"/>
              </w:rPr>
              <w:t>i</w:t>
            </w:r>
            <w:r w:rsidR="005A61AB" w:rsidRPr="00417ECC">
              <w:rPr>
                <w:rFonts w:ascii="Times New Roman" w:hAnsi="Times New Roman"/>
                <w:color w:val="000000"/>
              </w:rPr>
              <w:t xml:space="preserve"> </w:t>
            </w:r>
            <w:r w:rsidRPr="00417ECC">
              <w:rPr>
                <w:rFonts w:ascii="Times New Roman" w:hAnsi="Times New Roman"/>
                <w:color w:val="000000"/>
              </w:rPr>
              <w:t>z</w:t>
            </w:r>
            <w:r w:rsidR="005A61AB" w:rsidRPr="00417ECC">
              <w:rPr>
                <w:rFonts w:ascii="Times New Roman" w:hAnsi="Times New Roman"/>
                <w:color w:val="000000"/>
              </w:rPr>
              <w:t xml:space="preserve"> </w:t>
            </w:r>
            <w:r w:rsidRPr="00417ECC">
              <w:rPr>
                <w:rFonts w:ascii="Times New Roman" w:hAnsi="Times New Roman"/>
                <w:color w:val="000000"/>
              </w:rPr>
              <w:t>uwzględnieniem wniosków wynikających z</w:t>
            </w:r>
            <w:r w:rsidR="00AD6FF4">
              <w:rPr>
                <w:rFonts w:ascii="Times New Roman" w:hAnsi="Times New Roman"/>
                <w:color w:val="000000"/>
              </w:rPr>
              <w:t> </w:t>
            </w:r>
            <w:r w:rsidRPr="00417ECC">
              <w:rPr>
                <w:rFonts w:ascii="Times New Roman" w:hAnsi="Times New Roman"/>
                <w:color w:val="000000"/>
              </w:rPr>
              <w:t>wyroku Trybunału, określić nie tylko maksymalną wysokość opłaty egzekucyjnej, o której mowa w art. 64 § 1 pkt 4 u.p.e.a.</w:t>
            </w:r>
            <w:r w:rsidR="00DE6316">
              <w:rPr>
                <w:rFonts w:ascii="Times New Roman" w:hAnsi="Times New Roman"/>
                <w:color w:val="000000"/>
              </w:rPr>
              <w:t>,</w:t>
            </w:r>
            <w:r w:rsidRPr="00417ECC">
              <w:rPr>
                <w:rFonts w:ascii="Times New Roman" w:hAnsi="Times New Roman"/>
                <w:color w:val="000000"/>
              </w:rPr>
              <w:t xml:space="preserve"> oraz</w:t>
            </w:r>
            <w:r w:rsidR="00AD6FF4">
              <w:rPr>
                <w:rFonts w:ascii="Times New Roman" w:hAnsi="Times New Roman"/>
                <w:color w:val="000000"/>
              </w:rPr>
              <w:t xml:space="preserve"> </w:t>
            </w:r>
            <w:r w:rsidRPr="00417ECC">
              <w:rPr>
                <w:rFonts w:ascii="Times New Roman" w:hAnsi="Times New Roman"/>
                <w:color w:val="000000"/>
              </w:rPr>
              <w:t>opłaty manipulacyjnej, o której mowa w art. 64 § 6 u.p.e.a., ale także maksymalną wysokość innych opłat egzekucyjnych. Ustawodawca powinien nadto określić sposób obliczania wysokości tych opłat w razie umorzenia postępowania w związku z dobrowolną zapłatą egzekwowanej należności po dokonaniu czynności egzekucyjnych.</w:t>
            </w:r>
            <w:r w:rsidR="00417ECC" w:rsidRPr="00417ECC">
              <w:rPr>
                <w:rFonts w:ascii="Times New Roman" w:hAnsi="Times New Roman"/>
                <w:color w:val="000000"/>
              </w:rPr>
              <w:t xml:space="preserve"> Jednocześnie podkreślono, że konieczność podjęcia przez ustawodawcę odpowiednich kroków w celu wykonania niniejszego wyroku powinna stanowić okazję do szerszego spojrzenia na przyjęty model opłat w egzekucji w</w:t>
            </w:r>
            <w:r w:rsidR="00AD6FF4">
              <w:rPr>
                <w:rFonts w:ascii="Times New Roman" w:hAnsi="Times New Roman"/>
                <w:color w:val="000000"/>
              </w:rPr>
              <w:t> </w:t>
            </w:r>
            <w:r w:rsidR="00417ECC" w:rsidRPr="00417ECC">
              <w:rPr>
                <w:rFonts w:ascii="Times New Roman" w:hAnsi="Times New Roman"/>
                <w:color w:val="000000"/>
              </w:rPr>
              <w:t>administracji.</w:t>
            </w:r>
          </w:p>
        </w:tc>
      </w:tr>
      <w:tr w:rsidR="006A701A" w:rsidRPr="008B4FE6" w:rsidTr="00676C8D">
        <w:trPr>
          <w:gridAfter w:val="1"/>
          <w:wAfter w:w="10" w:type="dxa"/>
          <w:trHeight w:val="142"/>
        </w:trPr>
        <w:tc>
          <w:tcPr>
            <w:tcW w:w="10937" w:type="dxa"/>
            <w:gridSpan w:val="28"/>
            <w:shd w:val="clear" w:color="auto" w:fill="99CCFF"/>
            <w:vAlign w:val="center"/>
          </w:tcPr>
          <w:p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rsidTr="00676C8D">
        <w:trPr>
          <w:gridAfter w:val="1"/>
          <w:wAfter w:w="10" w:type="dxa"/>
          <w:trHeight w:val="142"/>
        </w:trPr>
        <w:tc>
          <w:tcPr>
            <w:tcW w:w="10937" w:type="dxa"/>
            <w:gridSpan w:val="28"/>
            <w:shd w:val="clear" w:color="auto" w:fill="auto"/>
          </w:tcPr>
          <w:p w:rsidR="00831D15" w:rsidRPr="00A60CE6" w:rsidRDefault="00831D15" w:rsidP="004B1691">
            <w:pPr>
              <w:spacing w:line="240" w:lineRule="auto"/>
              <w:jc w:val="both"/>
              <w:rPr>
                <w:rFonts w:ascii="Times New Roman" w:hAnsi="Times New Roman"/>
                <w:color w:val="000000"/>
              </w:rPr>
            </w:pPr>
            <w:r w:rsidRPr="00A60CE6">
              <w:rPr>
                <w:rFonts w:ascii="Times New Roman" w:hAnsi="Times New Roman"/>
                <w:color w:val="000000"/>
              </w:rPr>
              <w:t>Projektowana regulacja przewiduje:</w:t>
            </w:r>
          </w:p>
          <w:p w:rsidR="00417ECC" w:rsidRPr="00E66D30" w:rsidRDefault="00831D15" w:rsidP="00417ECC">
            <w:pPr>
              <w:spacing w:line="240" w:lineRule="auto"/>
              <w:jc w:val="both"/>
              <w:rPr>
                <w:rFonts w:ascii="Times New Roman" w:hAnsi="Times New Roman"/>
                <w:color w:val="000000"/>
              </w:rPr>
            </w:pPr>
            <w:r>
              <w:rPr>
                <w:rFonts w:ascii="Times New Roman" w:hAnsi="Times New Roman"/>
                <w:color w:val="000000"/>
              </w:rPr>
              <w:t xml:space="preserve">- </w:t>
            </w:r>
            <w:r w:rsidR="00417ECC">
              <w:rPr>
                <w:rFonts w:ascii="Times New Roman" w:hAnsi="Times New Roman"/>
                <w:color w:val="000000"/>
              </w:rPr>
              <w:t xml:space="preserve">określenie </w:t>
            </w:r>
            <w:r w:rsidR="004B5024">
              <w:rPr>
                <w:rFonts w:ascii="Times New Roman" w:hAnsi="Times New Roman"/>
                <w:color w:val="000000"/>
              </w:rPr>
              <w:t xml:space="preserve">dwóch kwotowych </w:t>
            </w:r>
            <w:r w:rsidR="00417ECC">
              <w:rPr>
                <w:rFonts w:ascii="Times New Roman" w:hAnsi="Times New Roman"/>
                <w:color w:val="000000"/>
              </w:rPr>
              <w:t>staw</w:t>
            </w:r>
            <w:r w:rsidR="004B5024">
              <w:rPr>
                <w:rFonts w:ascii="Times New Roman" w:hAnsi="Times New Roman"/>
                <w:color w:val="000000"/>
              </w:rPr>
              <w:t>ek</w:t>
            </w:r>
            <w:r w:rsidR="00417ECC" w:rsidRPr="00E66D30">
              <w:rPr>
                <w:rFonts w:ascii="Times New Roman" w:hAnsi="Times New Roman"/>
                <w:color w:val="000000"/>
              </w:rPr>
              <w:t xml:space="preserve"> opłaty manipulacyjnej, bez względu na wysokość należności objętej tytułem wykonawczym, pobieran</w:t>
            </w:r>
            <w:r w:rsidR="004B5024">
              <w:rPr>
                <w:rFonts w:ascii="Times New Roman" w:hAnsi="Times New Roman"/>
                <w:color w:val="000000"/>
              </w:rPr>
              <w:t>ych</w:t>
            </w:r>
            <w:r w:rsidR="00417ECC" w:rsidRPr="00E66D30">
              <w:rPr>
                <w:rFonts w:ascii="Times New Roman" w:hAnsi="Times New Roman"/>
                <w:color w:val="000000"/>
              </w:rPr>
              <w:t xml:space="preserve"> </w:t>
            </w:r>
            <w:r w:rsidR="00417ECC">
              <w:rPr>
                <w:rFonts w:ascii="Times New Roman" w:hAnsi="Times New Roman"/>
                <w:color w:val="000000"/>
              </w:rPr>
              <w:t xml:space="preserve">oddzielnie </w:t>
            </w:r>
            <w:r w:rsidR="00417ECC" w:rsidRPr="00E66D30">
              <w:rPr>
                <w:rFonts w:ascii="Times New Roman" w:hAnsi="Times New Roman"/>
                <w:color w:val="000000"/>
              </w:rPr>
              <w:t>od każdego tytułu wykonawczego</w:t>
            </w:r>
            <w:r w:rsidR="00D81625">
              <w:rPr>
                <w:rFonts w:ascii="Times New Roman" w:hAnsi="Times New Roman"/>
                <w:color w:val="000000"/>
              </w:rPr>
              <w:t xml:space="preserve">: </w:t>
            </w:r>
            <w:r w:rsidR="004B5024">
              <w:rPr>
                <w:rFonts w:ascii="Times New Roman" w:hAnsi="Times New Roman"/>
                <w:color w:val="000000"/>
              </w:rPr>
              <w:t xml:space="preserve">40 zł </w:t>
            </w:r>
            <w:r w:rsidR="00D81625">
              <w:rPr>
                <w:rFonts w:ascii="Times New Roman" w:hAnsi="Times New Roman"/>
                <w:color w:val="000000"/>
              </w:rPr>
              <w:t xml:space="preserve">za </w:t>
            </w:r>
            <w:r w:rsidR="004B5024">
              <w:rPr>
                <w:rFonts w:ascii="Times New Roman" w:hAnsi="Times New Roman"/>
                <w:color w:val="000000"/>
              </w:rPr>
              <w:t>wszczęci</w:t>
            </w:r>
            <w:r w:rsidR="00D81625">
              <w:rPr>
                <w:rFonts w:ascii="Times New Roman" w:hAnsi="Times New Roman"/>
                <w:color w:val="000000"/>
              </w:rPr>
              <w:t>e</w:t>
            </w:r>
            <w:r w:rsidR="004B5024">
              <w:rPr>
                <w:rFonts w:ascii="Times New Roman" w:hAnsi="Times New Roman"/>
                <w:color w:val="000000"/>
              </w:rPr>
              <w:t xml:space="preserve"> postępowania egzekucyjnego</w:t>
            </w:r>
            <w:r w:rsidR="00D81625">
              <w:rPr>
                <w:rFonts w:ascii="Times New Roman" w:hAnsi="Times New Roman"/>
                <w:color w:val="000000"/>
              </w:rPr>
              <w:t xml:space="preserve">, która jest podwyższona </w:t>
            </w:r>
            <w:r w:rsidR="007A7392">
              <w:rPr>
                <w:rFonts w:ascii="Times New Roman" w:hAnsi="Times New Roman"/>
                <w:color w:val="000000"/>
              </w:rPr>
              <w:t>do wysokości 100 zł</w:t>
            </w:r>
            <w:r w:rsidR="004B5024">
              <w:rPr>
                <w:rFonts w:ascii="Times New Roman" w:hAnsi="Times New Roman"/>
                <w:color w:val="000000"/>
              </w:rPr>
              <w:t xml:space="preserve"> z chwilą wszczęcia egzekucji</w:t>
            </w:r>
            <w:r w:rsidR="007A7392">
              <w:rPr>
                <w:rFonts w:ascii="Times New Roman" w:hAnsi="Times New Roman"/>
                <w:color w:val="000000"/>
              </w:rPr>
              <w:t xml:space="preserve"> administracyjnej</w:t>
            </w:r>
            <w:r w:rsidR="00D81625">
              <w:rPr>
                <w:rFonts w:ascii="Times New Roman" w:hAnsi="Times New Roman"/>
                <w:color w:val="000000"/>
              </w:rPr>
              <w:t>;</w:t>
            </w:r>
          </w:p>
          <w:p w:rsidR="00A72C29" w:rsidRPr="00E66D30" w:rsidRDefault="00417ECC" w:rsidP="004B1691">
            <w:pPr>
              <w:spacing w:line="240" w:lineRule="auto"/>
              <w:jc w:val="both"/>
              <w:rPr>
                <w:rFonts w:ascii="Times New Roman" w:hAnsi="Times New Roman"/>
                <w:color w:val="000000"/>
              </w:rPr>
            </w:pPr>
            <w:r>
              <w:rPr>
                <w:rFonts w:ascii="Times New Roman" w:hAnsi="Times New Roman"/>
                <w:color w:val="000000"/>
              </w:rPr>
              <w:t xml:space="preserve">- wprowadzenie </w:t>
            </w:r>
            <w:r w:rsidR="00A72C29" w:rsidRPr="004B1691">
              <w:rPr>
                <w:rFonts w:ascii="Times New Roman" w:hAnsi="Times New Roman"/>
                <w:color w:val="000000"/>
              </w:rPr>
              <w:t xml:space="preserve">opłaty </w:t>
            </w:r>
            <w:r>
              <w:rPr>
                <w:rFonts w:ascii="Times New Roman" w:hAnsi="Times New Roman"/>
                <w:color w:val="000000"/>
              </w:rPr>
              <w:t>egzekucyjnej (w miejsce opłat za czynności egzekucyjne) pobieranej</w:t>
            </w:r>
            <w:r w:rsidR="00A72C29" w:rsidRPr="00A60CE6">
              <w:rPr>
                <w:rFonts w:ascii="Times New Roman" w:hAnsi="Times New Roman"/>
                <w:color w:val="000000"/>
              </w:rPr>
              <w:t xml:space="preserve"> proporcjonalnie do wyegzekwowanej należności</w:t>
            </w:r>
            <w:r w:rsidR="00A72C29">
              <w:rPr>
                <w:rFonts w:ascii="Times New Roman" w:hAnsi="Times New Roman"/>
                <w:color w:val="000000"/>
              </w:rPr>
              <w:t xml:space="preserve"> (</w:t>
            </w:r>
            <w:r w:rsidR="00A72C29" w:rsidRPr="004B1691">
              <w:rPr>
                <w:rFonts w:ascii="Times New Roman" w:hAnsi="Times New Roman"/>
                <w:color w:val="000000"/>
              </w:rPr>
              <w:t>10% kwoty wyegzekwowanej należności pieniężnej)</w:t>
            </w:r>
            <w:r w:rsidR="0002479D">
              <w:rPr>
                <w:rFonts w:ascii="Times New Roman" w:hAnsi="Times New Roman"/>
                <w:color w:val="000000"/>
              </w:rPr>
              <w:t xml:space="preserve"> </w:t>
            </w:r>
            <w:r w:rsidR="00A72C29" w:rsidRPr="00E66D30">
              <w:rPr>
                <w:rFonts w:ascii="Times New Roman" w:hAnsi="Times New Roman"/>
                <w:color w:val="000000"/>
              </w:rPr>
              <w:t>nie wię</w:t>
            </w:r>
            <w:r>
              <w:rPr>
                <w:rFonts w:ascii="Times New Roman" w:hAnsi="Times New Roman"/>
                <w:color w:val="000000"/>
              </w:rPr>
              <w:t>cej</w:t>
            </w:r>
            <w:r w:rsidR="00A72C29" w:rsidRPr="00E66D30">
              <w:rPr>
                <w:rFonts w:ascii="Times New Roman" w:hAnsi="Times New Roman"/>
                <w:color w:val="000000"/>
              </w:rPr>
              <w:t xml:space="preserve"> niż </w:t>
            </w:r>
            <w:r>
              <w:rPr>
                <w:rFonts w:ascii="Times New Roman" w:hAnsi="Times New Roman"/>
                <w:color w:val="000000"/>
              </w:rPr>
              <w:t>4</w:t>
            </w:r>
            <w:r w:rsidR="00A72C29" w:rsidRPr="00E66D30">
              <w:rPr>
                <w:rFonts w:ascii="Times New Roman" w:hAnsi="Times New Roman"/>
                <w:color w:val="000000"/>
              </w:rPr>
              <w:t>0 000 zł</w:t>
            </w:r>
            <w:r w:rsidR="00D81625">
              <w:rPr>
                <w:rFonts w:ascii="Times New Roman" w:hAnsi="Times New Roman"/>
                <w:color w:val="000000"/>
              </w:rPr>
              <w:t>;</w:t>
            </w:r>
            <w:r w:rsidR="00A72C29" w:rsidRPr="00E66D30">
              <w:rPr>
                <w:rFonts w:ascii="Times New Roman" w:hAnsi="Times New Roman"/>
                <w:color w:val="000000"/>
              </w:rPr>
              <w:t xml:space="preserve"> </w:t>
            </w:r>
          </w:p>
          <w:p w:rsidR="00A72C29" w:rsidRPr="00E66D30" w:rsidRDefault="00173CDF" w:rsidP="004B1691">
            <w:pPr>
              <w:spacing w:line="240" w:lineRule="auto"/>
              <w:jc w:val="both"/>
              <w:rPr>
                <w:rFonts w:ascii="Times New Roman" w:hAnsi="Times New Roman"/>
                <w:color w:val="000000"/>
              </w:rPr>
            </w:pPr>
            <w:r>
              <w:rPr>
                <w:rFonts w:ascii="Times New Roman" w:hAnsi="Times New Roman"/>
                <w:color w:val="000000"/>
              </w:rPr>
              <w:t xml:space="preserve">- </w:t>
            </w:r>
            <w:r w:rsidR="00D81625">
              <w:rPr>
                <w:rFonts w:ascii="Times New Roman" w:hAnsi="Times New Roman"/>
                <w:color w:val="000000"/>
              </w:rPr>
              <w:t xml:space="preserve">obniżenie wysokości </w:t>
            </w:r>
            <w:r w:rsidR="00A72C29" w:rsidRPr="00E66D30">
              <w:rPr>
                <w:rFonts w:ascii="Times New Roman" w:hAnsi="Times New Roman"/>
                <w:color w:val="000000"/>
              </w:rPr>
              <w:t xml:space="preserve">opłaty </w:t>
            </w:r>
            <w:r w:rsidR="00417ECC">
              <w:rPr>
                <w:rFonts w:ascii="Times New Roman" w:hAnsi="Times New Roman"/>
                <w:color w:val="000000"/>
              </w:rPr>
              <w:t>egzekucyjnej</w:t>
            </w:r>
            <w:r w:rsidR="00A72C29" w:rsidRPr="00E66D30">
              <w:rPr>
                <w:rFonts w:ascii="Times New Roman" w:hAnsi="Times New Roman"/>
                <w:color w:val="000000"/>
              </w:rPr>
              <w:t xml:space="preserve"> w przypadku dobrowolnej zapłaty egzekwowanej należności (</w:t>
            </w:r>
            <w:r w:rsidR="00417ECC">
              <w:rPr>
                <w:rFonts w:ascii="Times New Roman" w:hAnsi="Times New Roman"/>
                <w:color w:val="000000"/>
              </w:rPr>
              <w:t>5</w:t>
            </w:r>
            <w:r w:rsidR="00A72C29" w:rsidRPr="00E66D30">
              <w:rPr>
                <w:rFonts w:ascii="Times New Roman" w:hAnsi="Times New Roman"/>
                <w:color w:val="000000"/>
              </w:rPr>
              <w:t>%</w:t>
            </w:r>
            <w:r>
              <w:rPr>
                <w:rFonts w:ascii="Times New Roman" w:hAnsi="Times New Roman"/>
                <w:color w:val="000000"/>
              </w:rPr>
              <w:t xml:space="preserve"> </w:t>
            </w:r>
            <w:r w:rsidR="00417ECC">
              <w:rPr>
                <w:rFonts w:ascii="Times New Roman" w:hAnsi="Times New Roman"/>
                <w:color w:val="000000"/>
              </w:rPr>
              <w:t xml:space="preserve">wyegzekwowanej </w:t>
            </w:r>
            <w:r>
              <w:rPr>
                <w:rFonts w:ascii="Times New Roman" w:hAnsi="Times New Roman"/>
                <w:color w:val="000000"/>
              </w:rPr>
              <w:t>należn</w:t>
            </w:r>
            <w:r w:rsidR="00417ECC">
              <w:rPr>
                <w:rFonts w:ascii="Times New Roman" w:hAnsi="Times New Roman"/>
                <w:color w:val="000000"/>
              </w:rPr>
              <w:t>ości nie więcej niż 20 000 zł</w:t>
            </w:r>
            <w:r w:rsidR="00DE6316">
              <w:rPr>
                <w:rFonts w:ascii="Times New Roman" w:hAnsi="Times New Roman"/>
                <w:color w:val="000000"/>
              </w:rPr>
              <w:t>)</w:t>
            </w:r>
            <w:r w:rsidR="00D81625">
              <w:rPr>
                <w:rFonts w:ascii="Times New Roman" w:hAnsi="Times New Roman"/>
                <w:color w:val="000000"/>
              </w:rPr>
              <w:t>;</w:t>
            </w:r>
          </w:p>
          <w:p w:rsidR="007A08DE" w:rsidRDefault="00A72C29" w:rsidP="004B1691">
            <w:pPr>
              <w:spacing w:line="240" w:lineRule="auto"/>
              <w:jc w:val="both"/>
              <w:rPr>
                <w:rFonts w:ascii="Times New Roman" w:hAnsi="Times New Roman"/>
                <w:color w:val="000000"/>
              </w:rPr>
            </w:pPr>
            <w:r w:rsidRPr="00E66D30">
              <w:rPr>
                <w:rFonts w:ascii="Times New Roman" w:hAnsi="Times New Roman"/>
                <w:color w:val="000000"/>
              </w:rPr>
              <w:t xml:space="preserve">- nieobciążanie kosztami egzekucyjnymi wierzyciela </w:t>
            </w:r>
            <w:r w:rsidR="00DE6316" w:rsidRPr="00DE6316">
              <w:rPr>
                <w:rFonts w:ascii="Times New Roman" w:hAnsi="Times New Roman"/>
                <w:color w:val="000000"/>
              </w:rPr>
              <w:t>działając</w:t>
            </w:r>
            <w:r w:rsidR="00DE6316">
              <w:rPr>
                <w:rFonts w:ascii="Times New Roman" w:hAnsi="Times New Roman"/>
                <w:color w:val="000000"/>
              </w:rPr>
              <w:t>ego</w:t>
            </w:r>
            <w:r w:rsidR="00DE6316" w:rsidRPr="00DE6316">
              <w:rPr>
                <w:rFonts w:ascii="Times New Roman" w:hAnsi="Times New Roman"/>
                <w:color w:val="000000"/>
              </w:rPr>
              <w:t xml:space="preserve"> w ramach państwowej jednostki budżetowej lub będąc</w:t>
            </w:r>
            <w:r w:rsidR="00DE6316">
              <w:rPr>
                <w:rFonts w:ascii="Times New Roman" w:hAnsi="Times New Roman"/>
                <w:color w:val="000000"/>
              </w:rPr>
              <w:t>ego</w:t>
            </w:r>
            <w:r w:rsidR="00DE6316" w:rsidRPr="00DE6316">
              <w:rPr>
                <w:rFonts w:ascii="Times New Roman" w:hAnsi="Times New Roman"/>
                <w:color w:val="000000"/>
              </w:rPr>
              <w:t xml:space="preserve"> państwową jednostką budżetową</w:t>
            </w:r>
            <w:r w:rsidR="00D81625">
              <w:rPr>
                <w:rFonts w:ascii="Times New Roman" w:hAnsi="Times New Roman"/>
                <w:color w:val="000000"/>
              </w:rPr>
              <w:t>;</w:t>
            </w:r>
          </w:p>
          <w:p w:rsidR="00D81625" w:rsidRDefault="00ED01A5" w:rsidP="00417ECC">
            <w:pPr>
              <w:spacing w:line="240" w:lineRule="auto"/>
              <w:jc w:val="both"/>
              <w:rPr>
                <w:rFonts w:ascii="Times New Roman" w:hAnsi="Times New Roman"/>
                <w:color w:val="000000"/>
              </w:rPr>
            </w:pPr>
            <w:r>
              <w:rPr>
                <w:rFonts w:ascii="Times New Roman" w:hAnsi="Times New Roman"/>
                <w:color w:val="000000"/>
              </w:rPr>
              <w:t xml:space="preserve">- </w:t>
            </w:r>
            <w:r w:rsidR="00D81625">
              <w:rPr>
                <w:rFonts w:ascii="Times New Roman" w:hAnsi="Times New Roman"/>
                <w:color w:val="000000"/>
              </w:rPr>
              <w:t>rozszerzenie katalogu wydatków egzekucyjnych;</w:t>
            </w:r>
          </w:p>
          <w:p w:rsidR="00DE6316" w:rsidRDefault="002517FE" w:rsidP="00417ECC">
            <w:pPr>
              <w:spacing w:line="240" w:lineRule="auto"/>
              <w:jc w:val="both"/>
              <w:rPr>
                <w:rFonts w:ascii="Times New Roman" w:hAnsi="Times New Roman"/>
                <w:color w:val="000000"/>
              </w:rPr>
            </w:pPr>
            <w:r>
              <w:rPr>
                <w:rFonts w:ascii="Times New Roman" w:hAnsi="Times New Roman"/>
                <w:color w:val="000000"/>
              </w:rPr>
              <w:t xml:space="preserve">- </w:t>
            </w:r>
            <w:r w:rsidR="00417ECC">
              <w:rPr>
                <w:rFonts w:ascii="Times New Roman" w:hAnsi="Times New Roman"/>
                <w:color w:val="000000"/>
              </w:rPr>
              <w:t>zmiana przesłanek umorzenia kosztów egzekucyjnych</w:t>
            </w:r>
            <w:r w:rsidR="00DE6316">
              <w:rPr>
                <w:rFonts w:ascii="Times New Roman" w:hAnsi="Times New Roman"/>
                <w:color w:val="000000"/>
              </w:rPr>
              <w:t xml:space="preserve"> i rozłożenia na rat spłaty tych kosztów, </w:t>
            </w:r>
            <w:r w:rsidR="00417ECC">
              <w:rPr>
                <w:rFonts w:ascii="Times New Roman" w:hAnsi="Times New Roman"/>
                <w:color w:val="000000"/>
              </w:rPr>
              <w:t xml:space="preserve">wprowadzenie przepisów regulujących pomoc publiczną w procedurze </w:t>
            </w:r>
            <w:r w:rsidR="00DE6316">
              <w:rPr>
                <w:rFonts w:ascii="Times New Roman" w:hAnsi="Times New Roman"/>
                <w:color w:val="000000"/>
              </w:rPr>
              <w:t>udzielania tych ulg</w:t>
            </w:r>
            <w:r w:rsidR="00D81625">
              <w:rPr>
                <w:rFonts w:ascii="Times New Roman" w:hAnsi="Times New Roman"/>
                <w:color w:val="000000"/>
              </w:rPr>
              <w:t>;</w:t>
            </w:r>
          </w:p>
          <w:p w:rsidR="002517FE" w:rsidRDefault="00DE6316" w:rsidP="00417ECC">
            <w:pPr>
              <w:spacing w:line="240" w:lineRule="auto"/>
              <w:jc w:val="both"/>
              <w:rPr>
                <w:rFonts w:ascii="Times New Roman" w:hAnsi="Times New Roman"/>
                <w:color w:val="000000"/>
              </w:rPr>
            </w:pPr>
            <w:r>
              <w:rPr>
                <w:rFonts w:ascii="Times New Roman" w:hAnsi="Times New Roman"/>
                <w:color w:val="000000"/>
              </w:rPr>
              <w:t>- wprowadzenie pr</w:t>
            </w:r>
            <w:r w:rsidR="00417ECC">
              <w:rPr>
                <w:rFonts w:ascii="Times New Roman" w:hAnsi="Times New Roman"/>
                <w:color w:val="000000"/>
              </w:rPr>
              <w:t>zepisów regulujących przedawnienie kosztów egzekucyjnych</w:t>
            </w:r>
            <w:r w:rsidR="002517FE">
              <w:rPr>
                <w:rFonts w:ascii="Times New Roman" w:hAnsi="Times New Roman"/>
                <w:color w:val="000000"/>
              </w:rPr>
              <w:t>,</w:t>
            </w:r>
          </w:p>
          <w:p w:rsidR="004B2594" w:rsidRDefault="002517FE" w:rsidP="00417ECC">
            <w:pPr>
              <w:spacing w:line="240" w:lineRule="auto"/>
              <w:jc w:val="both"/>
              <w:rPr>
                <w:rFonts w:ascii="Times New Roman" w:hAnsi="Times New Roman"/>
                <w:color w:val="000000"/>
              </w:rPr>
            </w:pPr>
            <w:r>
              <w:rPr>
                <w:rFonts w:ascii="Times New Roman" w:hAnsi="Times New Roman"/>
                <w:color w:val="000000"/>
              </w:rPr>
              <w:t>- rezygnacja z opłaty komorniczej</w:t>
            </w:r>
          </w:p>
          <w:p w:rsidR="00417ECC" w:rsidRDefault="004B2594" w:rsidP="00417ECC">
            <w:pPr>
              <w:spacing w:line="240" w:lineRule="auto"/>
              <w:jc w:val="both"/>
              <w:rPr>
                <w:rFonts w:ascii="Times New Roman" w:hAnsi="Times New Roman"/>
                <w:color w:val="000000"/>
              </w:rPr>
            </w:pPr>
            <w:r>
              <w:rPr>
                <w:rFonts w:ascii="Times New Roman" w:hAnsi="Times New Roman"/>
                <w:color w:val="000000"/>
              </w:rPr>
              <w:t>- zmiana procedury związanej z ponownym wszczęciem egzekucji administracyjnej wynikająca ze zmienionych przepisów dotyczących kosztów egzekucyjnych</w:t>
            </w:r>
            <w:r w:rsidR="00417ECC">
              <w:rPr>
                <w:rFonts w:ascii="Times New Roman" w:hAnsi="Times New Roman"/>
                <w:color w:val="000000"/>
              </w:rPr>
              <w:t>.</w:t>
            </w:r>
          </w:p>
          <w:p w:rsidR="006A701A" w:rsidRPr="00A05E47" w:rsidRDefault="00831D15" w:rsidP="00D81625">
            <w:pPr>
              <w:spacing w:line="240" w:lineRule="auto"/>
              <w:jc w:val="both"/>
              <w:rPr>
                <w:rFonts w:ascii="Times New Roman" w:hAnsi="Times New Roman"/>
                <w:color w:val="000000"/>
              </w:rPr>
            </w:pPr>
            <w:r w:rsidRPr="00A50BEC">
              <w:rPr>
                <w:rFonts w:ascii="Times New Roman" w:hAnsi="Times New Roman"/>
                <w:color w:val="000000"/>
              </w:rPr>
              <w:t>Wprowadzenie maksymalnej wysokości opłat</w:t>
            </w:r>
            <w:r w:rsidR="004B1691">
              <w:rPr>
                <w:rFonts w:ascii="Times New Roman" w:hAnsi="Times New Roman"/>
                <w:color w:val="000000"/>
              </w:rPr>
              <w:t>y</w:t>
            </w:r>
            <w:r w:rsidRPr="00A50BEC">
              <w:rPr>
                <w:rFonts w:ascii="Times New Roman" w:hAnsi="Times New Roman"/>
                <w:color w:val="000000"/>
              </w:rPr>
              <w:t xml:space="preserve"> </w:t>
            </w:r>
            <w:r w:rsidR="00DE6316">
              <w:rPr>
                <w:rFonts w:ascii="Times New Roman" w:hAnsi="Times New Roman"/>
                <w:color w:val="000000"/>
              </w:rPr>
              <w:t>egzekucyjnej (dotychczas opłaty za czynności egzekucyjne)</w:t>
            </w:r>
            <w:r w:rsidRPr="00A50BEC">
              <w:rPr>
                <w:rFonts w:ascii="Times New Roman" w:hAnsi="Times New Roman"/>
                <w:color w:val="000000"/>
              </w:rPr>
              <w:t xml:space="preserve">, </w:t>
            </w:r>
            <w:r w:rsidR="004B1691" w:rsidRPr="00A50BEC">
              <w:rPr>
                <w:rFonts w:ascii="Times New Roman" w:hAnsi="Times New Roman"/>
                <w:color w:val="000000"/>
              </w:rPr>
              <w:t>ustalenie opłaty manipulacyjnej w wysok</w:t>
            </w:r>
            <w:r w:rsidR="004B1691">
              <w:rPr>
                <w:rFonts w:ascii="Times New Roman" w:hAnsi="Times New Roman"/>
                <w:color w:val="000000"/>
              </w:rPr>
              <w:t>ości 40</w:t>
            </w:r>
            <w:r w:rsidR="007A7392">
              <w:rPr>
                <w:rFonts w:ascii="Times New Roman" w:hAnsi="Times New Roman"/>
                <w:color w:val="000000"/>
              </w:rPr>
              <w:t xml:space="preserve"> i 100</w:t>
            </w:r>
            <w:r w:rsidR="004B1691">
              <w:rPr>
                <w:rFonts w:ascii="Times New Roman" w:hAnsi="Times New Roman"/>
                <w:color w:val="000000"/>
              </w:rPr>
              <w:t xml:space="preserve"> zł</w:t>
            </w:r>
            <w:r w:rsidR="004B1691" w:rsidRPr="00A50BEC">
              <w:rPr>
                <w:rFonts w:ascii="Times New Roman" w:hAnsi="Times New Roman"/>
                <w:color w:val="000000"/>
              </w:rPr>
              <w:t xml:space="preserve"> </w:t>
            </w:r>
            <w:r w:rsidRPr="00A50BEC">
              <w:rPr>
                <w:rFonts w:ascii="Times New Roman" w:hAnsi="Times New Roman"/>
                <w:color w:val="000000"/>
              </w:rPr>
              <w:t>oraz obniżenie opłat</w:t>
            </w:r>
            <w:r w:rsidR="004B1691">
              <w:rPr>
                <w:rFonts w:ascii="Times New Roman" w:hAnsi="Times New Roman"/>
                <w:color w:val="000000"/>
              </w:rPr>
              <w:t>y</w:t>
            </w:r>
            <w:r w:rsidRPr="00A50BEC">
              <w:rPr>
                <w:rFonts w:ascii="Times New Roman" w:hAnsi="Times New Roman"/>
                <w:color w:val="000000"/>
              </w:rPr>
              <w:t xml:space="preserve"> </w:t>
            </w:r>
            <w:r w:rsidR="007A08DE">
              <w:rPr>
                <w:rFonts w:ascii="Times New Roman" w:hAnsi="Times New Roman"/>
                <w:color w:val="000000"/>
              </w:rPr>
              <w:t>egzekucyjnej</w:t>
            </w:r>
            <w:r w:rsidRPr="00A60CE6">
              <w:rPr>
                <w:rFonts w:ascii="Times New Roman" w:hAnsi="Times New Roman"/>
                <w:color w:val="000000"/>
              </w:rPr>
              <w:t xml:space="preserve"> w przypadku dobrowolnego uregulowania należności </w:t>
            </w:r>
            <w:r w:rsidR="00417ECC">
              <w:rPr>
                <w:rFonts w:ascii="Times New Roman" w:hAnsi="Times New Roman"/>
                <w:color w:val="000000"/>
              </w:rPr>
              <w:t>stanowi wykonanie wyroku TK</w:t>
            </w:r>
            <w:r w:rsidRPr="00A50BEC">
              <w:rPr>
                <w:rFonts w:ascii="Times New Roman" w:hAnsi="Times New Roman"/>
                <w:color w:val="000000"/>
              </w:rPr>
              <w:t xml:space="preserve">. </w:t>
            </w:r>
            <w:r w:rsidR="00A72C29" w:rsidRPr="00A50BEC">
              <w:rPr>
                <w:rFonts w:ascii="Times New Roman" w:hAnsi="Times New Roman"/>
                <w:color w:val="000000"/>
              </w:rPr>
              <w:t>Podwyższenie minimaln</w:t>
            </w:r>
            <w:r w:rsidR="004B1691">
              <w:rPr>
                <w:rFonts w:ascii="Times New Roman" w:hAnsi="Times New Roman"/>
                <w:color w:val="000000"/>
              </w:rPr>
              <w:t xml:space="preserve">ej </w:t>
            </w:r>
            <w:r w:rsidR="00A72C29" w:rsidRPr="00A50BEC">
              <w:rPr>
                <w:rFonts w:ascii="Times New Roman" w:hAnsi="Times New Roman"/>
                <w:color w:val="000000"/>
              </w:rPr>
              <w:t>opłat</w:t>
            </w:r>
            <w:r w:rsidR="004B1691">
              <w:rPr>
                <w:rFonts w:ascii="Times New Roman" w:hAnsi="Times New Roman"/>
                <w:color w:val="000000"/>
              </w:rPr>
              <w:t>y</w:t>
            </w:r>
            <w:r w:rsidR="00A72C29" w:rsidRPr="00A50BEC">
              <w:rPr>
                <w:rFonts w:ascii="Times New Roman" w:hAnsi="Times New Roman"/>
                <w:color w:val="000000"/>
              </w:rPr>
              <w:t xml:space="preserve"> </w:t>
            </w:r>
            <w:r w:rsidR="00417ECC">
              <w:rPr>
                <w:rFonts w:ascii="Times New Roman" w:hAnsi="Times New Roman"/>
                <w:color w:val="000000"/>
              </w:rPr>
              <w:t>egzekucyjnej z</w:t>
            </w:r>
            <w:r w:rsidR="00A72C29" w:rsidRPr="00A50BEC">
              <w:rPr>
                <w:rFonts w:ascii="Times New Roman" w:hAnsi="Times New Roman"/>
                <w:color w:val="000000"/>
              </w:rPr>
              <w:t>apewni bardziej racjonalny syst</w:t>
            </w:r>
            <w:r w:rsidR="004B1691">
              <w:rPr>
                <w:rFonts w:ascii="Times New Roman" w:hAnsi="Times New Roman"/>
                <w:color w:val="000000"/>
              </w:rPr>
              <w:t>em pokrywania kosztów</w:t>
            </w:r>
            <w:r w:rsidR="007A08DE">
              <w:rPr>
                <w:rFonts w:ascii="Times New Roman" w:hAnsi="Times New Roman"/>
                <w:color w:val="000000"/>
              </w:rPr>
              <w:t xml:space="preserve"> w</w:t>
            </w:r>
            <w:r w:rsidR="004B1691">
              <w:rPr>
                <w:rFonts w:ascii="Times New Roman" w:hAnsi="Times New Roman"/>
                <w:color w:val="000000"/>
              </w:rPr>
              <w:t xml:space="preserve"> egzekucji, a p</w:t>
            </w:r>
            <w:r w:rsidRPr="00A50BEC">
              <w:rPr>
                <w:rFonts w:ascii="Times New Roman" w:hAnsi="Times New Roman"/>
                <w:color w:val="000000"/>
              </w:rPr>
              <w:t>onadto oczekuje się zwiększeni</w:t>
            </w:r>
            <w:r w:rsidR="00D81625">
              <w:rPr>
                <w:rFonts w:ascii="Times New Roman" w:hAnsi="Times New Roman"/>
                <w:color w:val="000000"/>
              </w:rPr>
              <w:t>a</w:t>
            </w:r>
            <w:r w:rsidRPr="00A50BEC">
              <w:rPr>
                <w:rFonts w:ascii="Times New Roman" w:hAnsi="Times New Roman"/>
                <w:color w:val="000000"/>
              </w:rPr>
              <w:t xml:space="preserve"> stopnia dobrowolnego regulowania należności, szczególnie w sprawach,</w:t>
            </w:r>
            <w:r w:rsidR="00A05E47">
              <w:rPr>
                <w:rFonts w:ascii="Times New Roman" w:hAnsi="Times New Roman"/>
                <w:color w:val="000000"/>
              </w:rPr>
              <w:t xml:space="preserve"> </w:t>
            </w:r>
            <w:r w:rsidRPr="00A50BEC">
              <w:rPr>
                <w:rFonts w:ascii="Times New Roman" w:hAnsi="Times New Roman"/>
                <w:color w:val="000000"/>
              </w:rPr>
              <w:t>w których zaległości stanowią niskie kwoty.</w:t>
            </w:r>
            <w:r w:rsidRPr="00D97D51">
              <w:rPr>
                <w:rFonts w:ascii="Times New Roman" w:hAnsi="Times New Roman"/>
              </w:rPr>
              <w:t xml:space="preserve"> </w:t>
            </w:r>
          </w:p>
        </w:tc>
      </w:tr>
      <w:tr w:rsidR="006A701A" w:rsidRPr="008B4FE6" w:rsidTr="00676C8D">
        <w:trPr>
          <w:gridAfter w:val="1"/>
          <w:wAfter w:w="10" w:type="dxa"/>
          <w:trHeight w:val="307"/>
        </w:trPr>
        <w:tc>
          <w:tcPr>
            <w:tcW w:w="10937" w:type="dxa"/>
            <w:gridSpan w:val="28"/>
            <w:shd w:val="clear" w:color="auto" w:fill="99CCFF"/>
            <w:vAlign w:val="center"/>
          </w:tcPr>
          <w:p w:rsidR="006A701A" w:rsidRPr="008B4FE6" w:rsidRDefault="009E3C4B"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rsidTr="00676C8D">
        <w:trPr>
          <w:gridAfter w:val="1"/>
          <w:wAfter w:w="10" w:type="dxa"/>
          <w:trHeight w:val="142"/>
        </w:trPr>
        <w:tc>
          <w:tcPr>
            <w:tcW w:w="10937" w:type="dxa"/>
            <w:gridSpan w:val="28"/>
            <w:shd w:val="clear" w:color="auto" w:fill="auto"/>
          </w:tcPr>
          <w:p w:rsidR="006A701A" w:rsidRPr="00B37C80" w:rsidRDefault="00CC66BB" w:rsidP="00B37C80">
            <w:pPr>
              <w:spacing w:line="240" w:lineRule="auto"/>
              <w:jc w:val="both"/>
              <w:rPr>
                <w:rFonts w:ascii="Times New Roman" w:hAnsi="Times New Roman"/>
                <w:color w:val="000000"/>
                <w:spacing w:val="-2"/>
              </w:rPr>
            </w:pPr>
            <w:r>
              <w:rPr>
                <w:rFonts w:ascii="Times New Roman" w:hAnsi="Times New Roman"/>
                <w:color w:val="000000"/>
                <w:spacing w:val="-2"/>
              </w:rPr>
              <w:t xml:space="preserve">Brak informacji. </w:t>
            </w:r>
          </w:p>
        </w:tc>
      </w:tr>
      <w:tr w:rsidR="006A701A" w:rsidRPr="008B4FE6" w:rsidTr="00676C8D">
        <w:trPr>
          <w:gridAfter w:val="1"/>
          <w:wAfter w:w="10" w:type="dxa"/>
          <w:trHeight w:val="359"/>
        </w:trPr>
        <w:tc>
          <w:tcPr>
            <w:tcW w:w="10937" w:type="dxa"/>
            <w:gridSpan w:val="28"/>
            <w:shd w:val="clear" w:color="auto" w:fill="99CCFF"/>
            <w:vAlign w:val="center"/>
          </w:tcPr>
          <w:p w:rsidR="006A701A" w:rsidRPr="008B4FE6" w:rsidRDefault="006A701A"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Podmioty, na które oddziałuje projekt</w:t>
            </w:r>
          </w:p>
        </w:tc>
      </w:tr>
      <w:tr w:rsidR="00260F33" w:rsidRPr="008B4FE6" w:rsidTr="00E87163">
        <w:trPr>
          <w:gridAfter w:val="1"/>
          <w:wAfter w:w="10" w:type="dxa"/>
          <w:trHeight w:val="142"/>
        </w:trPr>
        <w:tc>
          <w:tcPr>
            <w:tcW w:w="2658" w:type="dxa"/>
            <w:gridSpan w:val="4"/>
            <w:shd w:val="clear" w:color="auto" w:fill="auto"/>
          </w:tcPr>
          <w:p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4" w:type="dxa"/>
            <w:gridSpan w:val="6"/>
            <w:shd w:val="clear" w:color="auto" w:fill="auto"/>
          </w:tcPr>
          <w:p w:rsidR="00260F33" w:rsidRPr="008B4FE6" w:rsidRDefault="00563199"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9" w:type="dxa"/>
            <w:gridSpan w:val="6"/>
            <w:shd w:val="clear" w:color="auto" w:fill="auto"/>
          </w:tcPr>
          <w:p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AF2E52" w:rsidRPr="008B4FE6" w:rsidTr="00E87163">
        <w:trPr>
          <w:gridAfter w:val="1"/>
          <w:wAfter w:w="10" w:type="dxa"/>
          <w:trHeight w:val="142"/>
        </w:trPr>
        <w:tc>
          <w:tcPr>
            <w:tcW w:w="2658" w:type="dxa"/>
            <w:gridSpan w:val="4"/>
            <w:shd w:val="clear" w:color="auto" w:fill="auto"/>
          </w:tcPr>
          <w:p w:rsidR="00AF2E52" w:rsidRPr="008B4FE6" w:rsidRDefault="00AF2E52" w:rsidP="00A17CB2">
            <w:pPr>
              <w:spacing w:line="240" w:lineRule="auto"/>
              <w:rPr>
                <w:rFonts w:ascii="Times New Roman" w:hAnsi="Times New Roman"/>
                <w:color w:val="000000"/>
                <w:spacing w:val="-2"/>
              </w:rPr>
            </w:pPr>
            <w:r w:rsidRPr="00BD3FE3">
              <w:rPr>
                <w:rFonts w:ascii="Times New Roman" w:hAnsi="Times New Roman"/>
                <w:color w:val="000000"/>
              </w:rPr>
              <w:t>Administracyjne organy egzekucyjne</w:t>
            </w:r>
          </w:p>
        </w:tc>
        <w:tc>
          <w:tcPr>
            <w:tcW w:w="2294" w:type="dxa"/>
            <w:gridSpan w:val="6"/>
            <w:shd w:val="clear" w:color="auto" w:fill="auto"/>
          </w:tcPr>
          <w:p w:rsidR="00AF2E52" w:rsidRPr="00BD3FE3" w:rsidRDefault="00AF2E52" w:rsidP="00831D15">
            <w:pPr>
              <w:spacing w:line="240" w:lineRule="auto"/>
              <w:rPr>
                <w:rFonts w:ascii="Times New Roman" w:hAnsi="Times New Roman"/>
                <w:color w:val="000000"/>
                <w:spacing w:val="-2"/>
              </w:rPr>
            </w:pPr>
            <w:r w:rsidRPr="00BD3FE3">
              <w:rPr>
                <w:rFonts w:ascii="Times New Roman" w:hAnsi="Times New Roman"/>
                <w:color w:val="000000"/>
                <w:spacing w:val="-2"/>
              </w:rPr>
              <w:t>- 388 naczelników urzędów skarbowych,</w:t>
            </w:r>
          </w:p>
          <w:p w:rsidR="00AF2E52" w:rsidRPr="00BD3FE3" w:rsidRDefault="00DE6316" w:rsidP="00831D15">
            <w:pPr>
              <w:spacing w:line="240" w:lineRule="auto"/>
              <w:rPr>
                <w:rFonts w:ascii="Times New Roman" w:hAnsi="Times New Roman"/>
                <w:color w:val="000000"/>
                <w:spacing w:val="-2"/>
              </w:rPr>
            </w:pPr>
            <w:r>
              <w:rPr>
                <w:rFonts w:ascii="Times New Roman" w:hAnsi="Times New Roman"/>
                <w:color w:val="000000"/>
                <w:spacing w:val="-2"/>
              </w:rPr>
              <w:t>- 47</w:t>
            </w:r>
            <w:r w:rsidR="00AF2E52" w:rsidRPr="00BD3FE3">
              <w:rPr>
                <w:rFonts w:ascii="Times New Roman" w:hAnsi="Times New Roman"/>
                <w:color w:val="000000"/>
                <w:spacing w:val="-2"/>
              </w:rPr>
              <w:t xml:space="preserve"> właściwych organów gminy o statusie miasta, </w:t>
            </w:r>
          </w:p>
          <w:p w:rsidR="00AF2E52" w:rsidRPr="00BD3FE3" w:rsidRDefault="00AF2E52" w:rsidP="00831D15">
            <w:pPr>
              <w:spacing w:line="240" w:lineRule="auto"/>
              <w:rPr>
                <w:rFonts w:ascii="Times New Roman" w:hAnsi="Times New Roman"/>
                <w:color w:val="000000"/>
                <w:spacing w:val="-2"/>
              </w:rPr>
            </w:pPr>
            <w:r w:rsidRPr="00BD3FE3">
              <w:rPr>
                <w:rFonts w:ascii="Times New Roman" w:hAnsi="Times New Roman"/>
                <w:color w:val="000000"/>
                <w:spacing w:val="-2"/>
              </w:rPr>
              <w:t xml:space="preserve">- </w:t>
            </w:r>
            <w:r>
              <w:rPr>
                <w:rFonts w:ascii="Times New Roman" w:hAnsi="Times New Roman"/>
                <w:color w:val="000000"/>
                <w:spacing w:val="-2"/>
              </w:rPr>
              <w:t>właściwe organy gminy prowadzące</w:t>
            </w:r>
            <w:r w:rsidRPr="00BD3FE3">
              <w:rPr>
                <w:rFonts w:ascii="Times New Roman" w:hAnsi="Times New Roman"/>
                <w:color w:val="000000"/>
                <w:spacing w:val="-2"/>
              </w:rPr>
              <w:t xml:space="preserve"> postępowanie egzekucyjne na podstawie porozumień, </w:t>
            </w:r>
          </w:p>
          <w:p w:rsidR="00AF2E52" w:rsidRPr="00BD3FE3" w:rsidRDefault="00AF2E52" w:rsidP="00831D15">
            <w:pPr>
              <w:spacing w:line="240" w:lineRule="auto"/>
              <w:rPr>
                <w:rFonts w:ascii="Times New Roman" w:hAnsi="Times New Roman"/>
                <w:color w:val="000000"/>
                <w:spacing w:val="-2"/>
              </w:rPr>
            </w:pPr>
            <w:r w:rsidRPr="00BD3FE3">
              <w:rPr>
                <w:rFonts w:ascii="Times New Roman" w:hAnsi="Times New Roman"/>
                <w:color w:val="000000"/>
                <w:spacing w:val="-2"/>
              </w:rPr>
              <w:t xml:space="preserve">- Przewodniczący Mię-dzyresortowej Komisji Orzekającej przy Ministrze Finansów, </w:t>
            </w:r>
          </w:p>
          <w:p w:rsidR="00AF2E52" w:rsidRPr="00BD3FE3" w:rsidRDefault="00AF2E52" w:rsidP="00831D15">
            <w:pPr>
              <w:spacing w:line="240" w:lineRule="auto"/>
              <w:rPr>
                <w:rFonts w:ascii="Times New Roman" w:hAnsi="Times New Roman"/>
                <w:color w:val="000000"/>
                <w:spacing w:val="-2"/>
              </w:rPr>
            </w:pPr>
            <w:r w:rsidRPr="00BD3FE3">
              <w:rPr>
                <w:rFonts w:ascii="Times New Roman" w:hAnsi="Times New Roman"/>
                <w:color w:val="000000"/>
                <w:spacing w:val="-2"/>
              </w:rPr>
              <w:t>- 4</w:t>
            </w:r>
            <w:r>
              <w:rPr>
                <w:rFonts w:ascii="Times New Roman" w:hAnsi="Times New Roman"/>
                <w:color w:val="000000"/>
                <w:spacing w:val="-2"/>
              </w:rPr>
              <w:t>3</w:t>
            </w:r>
            <w:r w:rsidRPr="00BD3FE3">
              <w:rPr>
                <w:rFonts w:ascii="Times New Roman" w:hAnsi="Times New Roman"/>
                <w:color w:val="000000"/>
                <w:spacing w:val="-2"/>
              </w:rPr>
              <w:t xml:space="preserve"> dyrektorów oddziału ZUS, </w:t>
            </w:r>
          </w:p>
          <w:p w:rsidR="00AF2E52" w:rsidRPr="00BD3FE3" w:rsidRDefault="00AF2E52" w:rsidP="00831D15">
            <w:pPr>
              <w:spacing w:line="240" w:lineRule="auto"/>
              <w:rPr>
                <w:rFonts w:ascii="Times New Roman" w:hAnsi="Times New Roman"/>
                <w:color w:val="000000"/>
                <w:spacing w:val="-2"/>
              </w:rPr>
            </w:pPr>
            <w:r w:rsidRPr="00BD3FE3">
              <w:rPr>
                <w:rFonts w:ascii="Times New Roman" w:hAnsi="Times New Roman"/>
                <w:color w:val="000000"/>
                <w:spacing w:val="-2"/>
              </w:rPr>
              <w:t xml:space="preserve">- 10 dyrektorów oddziałów regionalnych Agencji Mienia Wojskowego, </w:t>
            </w:r>
          </w:p>
          <w:p w:rsidR="00AF2E52" w:rsidRPr="00B37C80" w:rsidRDefault="00AF2E52" w:rsidP="00831D15">
            <w:pPr>
              <w:spacing w:line="240" w:lineRule="auto"/>
              <w:rPr>
                <w:rFonts w:ascii="Times New Roman" w:hAnsi="Times New Roman"/>
                <w:color w:val="000000"/>
                <w:spacing w:val="-2"/>
              </w:rPr>
            </w:pPr>
            <w:r w:rsidRPr="00BD3FE3">
              <w:rPr>
                <w:rFonts w:ascii="Times New Roman" w:hAnsi="Times New Roman"/>
                <w:color w:val="000000"/>
                <w:spacing w:val="-2"/>
              </w:rPr>
              <w:t>- 16 marszałków woje-wództw;</w:t>
            </w:r>
          </w:p>
        </w:tc>
        <w:tc>
          <w:tcPr>
            <w:tcW w:w="2996" w:type="dxa"/>
            <w:gridSpan w:val="12"/>
            <w:shd w:val="clear" w:color="auto" w:fill="auto"/>
          </w:tcPr>
          <w:p w:rsidR="00AF2E52" w:rsidRPr="00B836F2" w:rsidRDefault="00AF2E52" w:rsidP="00BC37C9">
            <w:pPr>
              <w:spacing w:line="240" w:lineRule="auto"/>
              <w:rPr>
                <w:rFonts w:ascii="Times New Roman" w:hAnsi="Times New Roman"/>
                <w:color w:val="000000"/>
                <w:spacing w:val="-2"/>
              </w:rPr>
            </w:pPr>
            <w:r w:rsidRPr="00B836F2">
              <w:rPr>
                <w:rFonts w:ascii="Times New Roman" w:hAnsi="Times New Roman"/>
                <w:color w:val="000000"/>
                <w:spacing w:val="-2"/>
              </w:rPr>
              <w:t>- art. 19 ustawy o postępowaniu egzekucyjnym w administracji oraz:</w:t>
            </w:r>
          </w:p>
          <w:p w:rsidR="00AF2E52" w:rsidRDefault="00AF2E52" w:rsidP="00BC37C9">
            <w:pPr>
              <w:spacing w:line="240" w:lineRule="auto"/>
              <w:rPr>
                <w:rFonts w:ascii="Times New Roman" w:hAnsi="Times New Roman"/>
                <w:color w:val="000000"/>
                <w:spacing w:val="-2"/>
              </w:rPr>
            </w:pPr>
            <w:r w:rsidRPr="00B836F2">
              <w:rPr>
                <w:rFonts w:ascii="Times New Roman" w:hAnsi="Times New Roman"/>
                <w:color w:val="000000"/>
                <w:spacing w:val="-2"/>
              </w:rPr>
              <w:t>- rozporządzenie Ministra Finansów z dnia 24 lutego 2017</w:t>
            </w:r>
            <w:r>
              <w:rPr>
                <w:rFonts w:ascii="Times New Roman" w:hAnsi="Times New Roman"/>
                <w:color w:val="000000"/>
                <w:spacing w:val="-2"/>
              </w:rPr>
              <w:t> </w:t>
            </w:r>
            <w:r w:rsidRPr="00B836F2">
              <w:rPr>
                <w:rFonts w:ascii="Times New Roman" w:hAnsi="Times New Roman"/>
                <w:color w:val="000000"/>
                <w:spacing w:val="-2"/>
              </w:rPr>
              <w:t xml:space="preserve">r. w sprawie terytorialnego zasięgu działania oraz siedzib dyrektorów izb administracji skarbowej, naczelników urzędów skarbowych i naczelników urzędów celno-skarbowych </w:t>
            </w:r>
            <w:hyperlink r:id="rId8" w:history="1">
              <w:r w:rsidRPr="00B836F2">
                <w:rPr>
                  <w:rFonts w:ascii="Times New Roman" w:hAnsi="Times New Roman"/>
                  <w:color w:val="000000"/>
                  <w:spacing w:val="-2"/>
                </w:rPr>
                <w:t xml:space="preserve">(Dz. U. </w:t>
              </w:r>
            </w:hyperlink>
            <w:r w:rsidRPr="00B836F2">
              <w:rPr>
                <w:rFonts w:ascii="Times New Roman" w:hAnsi="Times New Roman"/>
                <w:color w:val="000000"/>
                <w:spacing w:val="-2"/>
              </w:rPr>
              <w:t xml:space="preserve">poz. </w:t>
            </w:r>
            <w:hyperlink r:id="rId9" w:history="1">
              <w:r w:rsidRPr="00B836F2">
                <w:rPr>
                  <w:rFonts w:ascii="Times New Roman" w:hAnsi="Times New Roman"/>
                  <w:color w:val="000000"/>
                  <w:spacing w:val="-2"/>
                </w:rPr>
                <w:t>393)</w:t>
              </w:r>
            </w:hyperlink>
            <w:r>
              <w:rPr>
                <w:rFonts w:ascii="Times New Roman" w:hAnsi="Times New Roman"/>
                <w:color w:val="000000"/>
                <w:spacing w:val="-2"/>
              </w:rPr>
              <w:t>,</w:t>
            </w:r>
          </w:p>
          <w:p w:rsidR="00AF2E52" w:rsidRDefault="00AF2E52" w:rsidP="00BC37C9">
            <w:pPr>
              <w:spacing w:line="240" w:lineRule="auto"/>
              <w:rPr>
                <w:rFonts w:ascii="Times New Roman" w:hAnsi="Times New Roman"/>
                <w:color w:val="000000"/>
                <w:spacing w:val="-2"/>
              </w:rPr>
            </w:pPr>
            <w:r w:rsidRPr="00B836F2">
              <w:rPr>
                <w:rFonts w:ascii="Times New Roman" w:hAnsi="Times New Roman"/>
                <w:color w:val="000000"/>
                <w:spacing w:val="-2"/>
              </w:rPr>
              <w:t xml:space="preserve">- załącznik do ustawy </w:t>
            </w:r>
            <w:r w:rsidR="00E50135" w:rsidRPr="00E50135">
              <w:rPr>
                <w:rFonts w:ascii="Times New Roman" w:hAnsi="Times New Roman"/>
                <w:color w:val="000000"/>
                <w:spacing w:val="-2"/>
              </w:rPr>
              <w:t xml:space="preserve">z dnia 24 listopada 1995 r. </w:t>
            </w:r>
            <w:r w:rsidRPr="00B836F2">
              <w:rPr>
                <w:rFonts w:ascii="Times New Roman" w:hAnsi="Times New Roman"/>
                <w:color w:val="000000"/>
                <w:spacing w:val="-2"/>
              </w:rPr>
              <w:t>o zmianie zakresu działania niektórych miast oraz miejskich strefach usług publicznych (Dz.</w:t>
            </w:r>
            <w:r>
              <w:rPr>
                <w:rFonts w:ascii="Times New Roman" w:hAnsi="Times New Roman"/>
                <w:color w:val="000000"/>
                <w:spacing w:val="-2"/>
              </w:rPr>
              <w:t> </w:t>
            </w:r>
            <w:r w:rsidRPr="00B836F2">
              <w:rPr>
                <w:rFonts w:ascii="Times New Roman" w:hAnsi="Times New Roman"/>
                <w:color w:val="000000"/>
                <w:spacing w:val="-2"/>
              </w:rPr>
              <w:t xml:space="preserve">U.  poz. 692) oraz ustawa z dnia 15 marca 2002 r. o ustroju miasta stołecznego Warszawy (Dz. U. z 2015 r. poz. </w:t>
            </w:r>
            <w:r>
              <w:rPr>
                <w:rFonts w:ascii="Times New Roman" w:hAnsi="Times New Roman"/>
                <w:color w:val="000000"/>
                <w:spacing w:val="-2"/>
              </w:rPr>
              <w:t>1438</w:t>
            </w:r>
            <w:r w:rsidR="00E50135">
              <w:rPr>
                <w:rFonts w:ascii="Times New Roman" w:hAnsi="Times New Roman"/>
                <w:color w:val="000000"/>
                <w:spacing w:val="-2"/>
              </w:rPr>
              <w:t>, z późn. zm.</w:t>
            </w:r>
            <w:r>
              <w:rPr>
                <w:rFonts w:ascii="Times New Roman" w:hAnsi="Times New Roman"/>
                <w:color w:val="000000"/>
                <w:spacing w:val="-2"/>
              </w:rPr>
              <w:t>),</w:t>
            </w:r>
          </w:p>
          <w:p w:rsidR="00AF2E52" w:rsidRDefault="00AF2E52" w:rsidP="006B32AA">
            <w:pPr>
              <w:spacing w:line="240" w:lineRule="auto"/>
              <w:rPr>
                <w:rFonts w:ascii="Times New Roman" w:hAnsi="Times New Roman"/>
                <w:bCs/>
              </w:rPr>
            </w:pPr>
            <w:r w:rsidRPr="00BD3FE3">
              <w:rPr>
                <w:rFonts w:ascii="Times New Roman" w:hAnsi="Times New Roman"/>
                <w:bCs/>
              </w:rPr>
              <w:t xml:space="preserve">- ustawa z dnia 3 lutego 1995 r. o ochronie gruntów </w:t>
            </w:r>
            <w:r w:rsidR="006B32AA">
              <w:rPr>
                <w:rFonts w:ascii="Times New Roman" w:hAnsi="Times New Roman"/>
                <w:bCs/>
              </w:rPr>
              <w:t>rolnych i leśnych (Dz. U. z 2017</w:t>
            </w:r>
            <w:r w:rsidRPr="00BD3FE3">
              <w:rPr>
                <w:rFonts w:ascii="Times New Roman" w:hAnsi="Times New Roman"/>
                <w:bCs/>
              </w:rPr>
              <w:t xml:space="preserve"> r. poz. </w:t>
            </w:r>
            <w:r w:rsidR="006B32AA">
              <w:rPr>
                <w:rFonts w:ascii="Times New Roman" w:hAnsi="Times New Roman"/>
                <w:bCs/>
              </w:rPr>
              <w:t>1161)</w:t>
            </w:r>
            <w:r>
              <w:rPr>
                <w:rFonts w:ascii="Times New Roman" w:hAnsi="Times New Roman"/>
                <w:bCs/>
              </w:rPr>
              <w:t xml:space="preserve"> </w:t>
            </w:r>
          </w:p>
          <w:p w:rsidR="00DE6316" w:rsidRPr="00B37C80" w:rsidRDefault="00DE6316" w:rsidP="00DE6316">
            <w:pPr>
              <w:spacing w:line="240" w:lineRule="auto"/>
              <w:rPr>
                <w:rFonts w:ascii="Times New Roman" w:hAnsi="Times New Roman"/>
                <w:color w:val="000000"/>
                <w:spacing w:val="-2"/>
              </w:rPr>
            </w:pPr>
            <w:r>
              <w:rPr>
                <w:rFonts w:ascii="Times New Roman" w:hAnsi="Times New Roman"/>
                <w:bCs/>
              </w:rPr>
              <w:t>- ustawa z dnia 13 września 1996 r. o utrzymaniu czystości w gminach (Dz. U. z 2017 r. poz. 1289</w:t>
            </w:r>
            <w:r w:rsidR="00E50135">
              <w:rPr>
                <w:rFonts w:ascii="Times New Roman" w:hAnsi="Times New Roman"/>
                <w:bCs/>
              </w:rPr>
              <w:t>, z późn. zm.</w:t>
            </w:r>
            <w:r>
              <w:rPr>
                <w:rFonts w:ascii="Times New Roman" w:hAnsi="Times New Roman"/>
                <w:bCs/>
              </w:rPr>
              <w:t>)</w:t>
            </w:r>
          </w:p>
        </w:tc>
        <w:tc>
          <w:tcPr>
            <w:tcW w:w="2989" w:type="dxa"/>
            <w:gridSpan w:val="6"/>
            <w:shd w:val="clear" w:color="auto" w:fill="auto"/>
          </w:tcPr>
          <w:p w:rsidR="00AF2E52" w:rsidRPr="00B37C80" w:rsidRDefault="00AF2E52" w:rsidP="00D81625">
            <w:pPr>
              <w:spacing w:line="240" w:lineRule="auto"/>
              <w:rPr>
                <w:rFonts w:ascii="Times New Roman" w:hAnsi="Times New Roman"/>
                <w:color w:val="000000"/>
                <w:spacing w:val="-2"/>
              </w:rPr>
            </w:pPr>
            <w:r>
              <w:rPr>
                <w:rFonts w:ascii="Times New Roman" w:hAnsi="Times New Roman"/>
                <w:color w:val="000000"/>
                <w:spacing w:val="-2"/>
              </w:rPr>
              <w:t xml:space="preserve">Pobieranie kosztów egzekucyjnych od zobowiązanych w wysokości zgodnej z wymogami </w:t>
            </w:r>
            <w:r w:rsidR="00DE6316">
              <w:rPr>
                <w:rFonts w:ascii="Times New Roman" w:hAnsi="Times New Roman"/>
                <w:color w:val="000000"/>
                <w:spacing w:val="-2"/>
              </w:rPr>
              <w:t xml:space="preserve">określonymi w </w:t>
            </w:r>
            <w:r>
              <w:rPr>
                <w:rFonts w:ascii="Times New Roman" w:hAnsi="Times New Roman"/>
                <w:color w:val="000000"/>
                <w:spacing w:val="-2"/>
              </w:rPr>
              <w:t>wyrok</w:t>
            </w:r>
            <w:r w:rsidR="00DE6316">
              <w:rPr>
                <w:rFonts w:ascii="Times New Roman" w:hAnsi="Times New Roman"/>
                <w:color w:val="000000"/>
                <w:spacing w:val="-2"/>
              </w:rPr>
              <w:t>u</w:t>
            </w:r>
            <w:r>
              <w:rPr>
                <w:rFonts w:ascii="Times New Roman" w:hAnsi="Times New Roman"/>
                <w:color w:val="000000"/>
                <w:spacing w:val="-2"/>
              </w:rPr>
              <w:t xml:space="preserve"> TK</w:t>
            </w:r>
          </w:p>
        </w:tc>
      </w:tr>
      <w:tr w:rsidR="00260F33" w:rsidRPr="008B4FE6" w:rsidTr="00E87163">
        <w:trPr>
          <w:gridAfter w:val="1"/>
          <w:wAfter w:w="10" w:type="dxa"/>
          <w:trHeight w:val="142"/>
        </w:trPr>
        <w:tc>
          <w:tcPr>
            <w:tcW w:w="2658" w:type="dxa"/>
            <w:gridSpan w:val="4"/>
            <w:shd w:val="clear" w:color="auto" w:fill="auto"/>
          </w:tcPr>
          <w:p w:rsidR="00260F33" w:rsidRPr="008B4FE6" w:rsidRDefault="00831D15" w:rsidP="007F0021">
            <w:pPr>
              <w:spacing w:line="240" w:lineRule="auto"/>
              <w:rPr>
                <w:rFonts w:ascii="Times New Roman" w:hAnsi="Times New Roman"/>
                <w:color w:val="000000"/>
                <w:spacing w:val="-2"/>
              </w:rPr>
            </w:pPr>
            <w:r w:rsidRPr="00FE72D1">
              <w:rPr>
                <w:rFonts w:ascii="Times New Roman" w:hAnsi="Times New Roman"/>
                <w:color w:val="000000"/>
              </w:rPr>
              <w:t>Zobowiązani</w:t>
            </w:r>
          </w:p>
        </w:tc>
        <w:tc>
          <w:tcPr>
            <w:tcW w:w="2294" w:type="dxa"/>
            <w:gridSpan w:val="6"/>
            <w:shd w:val="clear" w:color="auto" w:fill="auto"/>
          </w:tcPr>
          <w:p w:rsidR="00260F33" w:rsidRPr="00B37C80" w:rsidRDefault="00AF2E52" w:rsidP="007F0021">
            <w:pPr>
              <w:spacing w:line="240" w:lineRule="auto"/>
              <w:rPr>
                <w:rFonts w:ascii="Times New Roman" w:hAnsi="Times New Roman"/>
                <w:color w:val="000000"/>
                <w:spacing w:val="-2"/>
              </w:rPr>
            </w:pPr>
            <w:r>
              <w:rPr>
                <w:rFonts w:ascii="Times New Roman" w:hAnsi="Times New Roman"/>
                <w:color w:val="000000"/>
                <w:spacing w:val="-2"/>
              </w:rPr>
              <w:t>ok. 1,8 mln zobowiązanych</w:t>
            </w:r>
          </w:p>
        </w:tc>
        <w:tc>
          <w:tcPr>
            <w:tcW w:w="2996" w:type="dxa"/>
            <w:gridSpan w:val="12"/>
            <w:shd w:val="clear" w:color="auto" w:fill="auto"/>
          </w:tcPr>
          <w:p w:rsidR="00260F33" w:rsidRPr="00B37C80" w:rsidRDefault="00260F33" w:rsidP="007F0021">
            <w:pPr>
              <w:spacing w:line="240" w:lineRule="auto"/>
              <w:rPr>
                <w:rFonts w:ascii="Times New Roman" w:hAnsi="Times New Roman"/>
                <w:color w:val="000000"/>
                <w:spacing w:val="-2"/>
              </w:rPr>
            </w:pPr>
          </w:p>
        </w:tc>
        <w:tc>
          <w:tcPr>
            <w:tcW w:w="2989" w:type="dxa"/>
            <w:gridSpan w:val="6"/>
            <w:shd w:val="clear" w:color="auto" w:fill="auto"/>
          </w:tcPr>
          <w:p w:rsidR="00260F33" w:rsidRPr="00B37C80" w:rsidRDefault="00831D15" w:rsidP="00D81625">
            <w:pPr>
              <w:spacing w:line="240" w:lineRule="auto"/>
              <w:rPr>
                <w:rFonts w:ascii="Times New Roman" w:hAnsi="Times New Roman"/>
                <w:color w:val="000000"/>
                <w:spacing w:val="-2"/>
              </w:rPr>
            </w:pPr>
            <w:r>
              <w:rPr>
                <w:rFonts w:ascii="Times New Roman" w:hAnsi="Times New Roman"/>
                <w:color w:val="000000"/>
                <w:spacing w:val="-2"/>
              </w:rPr>
              <w:t>Ponoszenie kosztów egzekucyjnych</w:t>
            </w:r>
            <w:r w:rsidR="00376DB3">
              <w:rPr>
                <w:rFonts w:ascii="Times New Roman" w:hAnsi="Times New Roman"/>
                <w:color w:val="000000"/>
                <w:spacing w:val="-2"/>
              </w:rPr>
              <w:t xml:space="preserve"> w wysokości</w:t>
            </w:r>
            <w:r>
              <w:rPr>
                <w:rFonts w:ascii="Times New Roman" w:hAnsi="Times New Roman"/>
                <w:color w:val="000000"/>
                <w:spacing w:val="-2"/>
              </w:rPr>
              <w:t xml:space="preserve"> </w:t>
            </w:r>
            <w:r w:rsidR="00376DB3">
              <w:rPr>
                <w:rFonts w:ascii="Times New Roman" w:hAnsi="Times New Roman"/>
                <w:color w:val="000000"/>
                <w:spacing w:val="-2"/>
              </w:rPr>
              <w:t xml:space="preserve">zgodnej z </w:t>
            </w:r>
            <w:r w:rsidR="00A05E47">
              <w:rPr>
                <w:rFonts w:ascii="Times New Roman" w:hAnsi="Times New Roman"/>
                <w:color w:val="000000"/>
                <w:spacing w:val="-2"/>
              </w:rPr>
              <w:t>wyrokiem TK</w:t>
            </w:r>
          </w:p>
        </w:tc>
      </w:tr>
      <w:tr w:rsidR="00260F33" w:rsidRPr="008B4FE6" w:rsidTr="00E87163">
        <w:trPr>
          <w:gridAfter w:val="1"/>
          <w:wAfter w:w="10" w:type="dxa"/>
          <w:trHeight w:val="142"/>
        </w:trPr>
        <w:tc>
          <w:tcPr>
            <w:tcW w:w="2658" w:type="dxa"/>
            <w:gridSpan w:val="4"/>
            <w:shd w:val="clear" w:color="auto" w:fill="auto"/>
          </w:tcPr>
          <w:p w:rsidR="00260F33" w:rsidRPr="008B4FE6" w:rsidRDefault="00376DB3" w:rsidP="00376DB3">
            <w:pPr>
              <w:spacing w:line="240" w:lineRule="auto"/>
              <w:rPr>
                <w:rFonts w:ascii="Times New Roman" w:hAnsi="Times New Roman"/>
                <w:color w:val="000000"/>
                <w:spacing w:val="-2"/>
              </w:rPr>
            </w:pPr>
            <w:r>
              <w:rPr>
                <w:rFonts w:ascii="Times New Roman" w:hAnsi="Times New Roman"/>
                <w:color w:val="000000"/>
              </w:rPr>
              <w:t>Wierzyciele należności pieniężnych podlegających egzekucji administracyjnej</w:t>
            </w:r>
          </w:p>
        </w:tc>
        <w:tc>
          <w:tcPr>
            <w:tcW w:w="2294" w:type="dxa"/>
            <w:gridSpan w:val="6"/>
            <w:shd w:val="clear" w:color="auto" w:fill="auto"/>
          </w:tcPr>
          <w:p w:rsidR="00260F33" w:rsidRPr="00B37C80" w:rsidRDefault="00376DB3" w:rsidP="00A17CB2">
            <w:pPr>
              <w:spacing w:line="240" w:lineRule="auto"/>
              <w:rPr>
                <w:rFonts w:ascii="Times New Roman" w:hAnsi="Times New Roman"/>
                <w:color w:val="000000"/>
                <w:spacing w:val="-2"/>
              </w:rPr>
            </w:pPr>
            <w:r>
              <w:rPr>
                <w:rFonts w:ascii="Times New Roman" w:hAnsi="Times New Roman"/>
                <w:color w:val="000000"/>
                <w:spacing w:val="-2"/>
              </w:rPr>
              <w:t>Brak danych</w:t>
            </w:r>
          </w:p>
        </w:tc>
        <w:tc>
          <w:tcPr>
            <w:tcW w:w="2996" w:type="dxa"/>
            <w:gridSpan w:val="12"/>
            <w:shd w:val="clear" w:color="auto" w:fill="auto"/>
          </w:tcPr>
          <w:p w:rsidR="00260F33" w:rsidRPr="00B37C80" w:rsidRDefault="00260F33" w:rsidP="00A17CB2">
            <w:pPr>
              <w:spacing w:line="240" w:lineRule="auto"/>
              <w:rPr>
                <w:rFonts w:ascii="Times New Roman" w:hAnsi="Times New Roman"/>
                <w:color w:val="000000"/>
                <w:spacing w:val="-2"/>
              </w:rPr>
            </w:pPr>
          </w:p>
        </w:tc>
        <w:tc>
          <w:tcPr>
            <w:tcW w:w="2989" w:type="dxa"/>
            <w:gridSpan w:val="6"/>
            <w:shd w:val="clear" w:color="auto" w:fill="auto"/>
          </w:tcPr>
          <w:p w:rsidR="00BB1807" w:rsidRDefault="004B1691" w:rsidP="00D430FD">
            <w:pPr>
              <w:spacing w:line="240" w:lineRule="auto"/>
              <w:rPr>
                <w:rFonts w:ascii="Times New Roman" w:hAnsi="Times New Roman"/>
                <w:color w:val="000000"/>
              </w:rPr>
            </w:pPr>
            <w:r>
              <w:rPr>
                <w:rFonts w:ascii="Times New Roman" w:hAnsi="Times New Roman"/>
                <w:color w:val="000000"/>
                <w:spacing w:val="-2"/>
              </w:rPr>
              <w:t xml:space="preserve">- </w:t>
            </w:r>
            <w:r w:rsidR="00BB1807">
              <w:rPr>
                <w:rFonts w:ascii="Times New Roman" w:hAnsi="Times New Roman"/>
                <w:color w:val="000000"/>
                <w:spacing w:val="-2"/>
              </w:rPr>
              <w:t>Z</w:t>
            </w:r>
            <w:r>
              <w:rPr>
                <w:rFonts w:ascii="Times New Roman" w:hAnsi="Times New Roman"/>
                <w:color w:val="000000"/>
                <w:spacing w:val="-2"/>
              </w:rPr>
              <w:t xml:space="preserve">wolnienie </w:t>
            </w:r>
            <w:r w:rsidR="00DE6316">
              <w:rPr>
                <w:rFonts w:ascii="Times New Roman" w:hAnsi="Times New Roman"/>
                <w:color w:val="000000"/>
              </w:rPr>
              <w:t xml:space="preserve">wierzycieli </w:t>
            </w:r>
            <w:r w:rsidR="00DE6316" w:rsidRPr="00DE6316">
              <w:rPr>
                <w:rFonts w:ascii="Times New Roman" w:hAnsi="Times New Roman"/>
                <w:color w:val="000000"/>
              </w:rPr>
              <w:t>działając</w:t>
            </w:r>
            <w:r w:rsidR="00DE6316">
              <w:rPr>
                <w:rFonts w:ascii="Times New Roman" w:hAnsi="Times New Roman"/>
                <w:color w:val="000000"/>
              </w:rPr>
              <w:t>ych</w:t>
            </w:r>
            <w:r w:rsidR="00DE6316" w:rsidRPr="00DE6316">
              <w:rPr>
                <w:rFonts w:ascii="Times New Roman" w:hAnsi="Times New Roman"/>
                <w:color w:val="000000"/>
              </w:rPr>
              <w:t xml:space="preserve"> w ramach państwowej jednostki budżetowej lub będąc</w:t>
            </w:r>
            <w:r w:rsidR="00DE6316">
              <w:rPr>
                <w:rFonts w:ascii="Times New Roman" w:hAnsi="Times New Roman"/>
                <w:color w:val="000000"/>
              </w:rPr>
              <w:t>ych</w:t>
            </w:r>
            <w:r w:rsidR="00DE6316" w:rsidRPr="00DE6316">
              <w:rPr>
                <w:rFonts w:ascii="Times New Roman" w:hAnsi="Times New Roman"/>
                <w:color w:val="000000"/>
              </w:rPr>
              <w:t xml:space="preserve"> państwową jednostką budżetową</w:t>
            </w:r>
            <w:r w:rsidR="00DE6316">
              <w:rPr>
                <w:rFonts w:ascii="Times New Roman" w:hAnsi="Times New Roman"/>
                <w:color w:val="000000"/>
              </w:rPr>
              <w:t xml:space="preserve"> </w:t>
            </w:r>
            <w:r>
              <w:rPr>
                <w:rFonts w:ascii="Times New Roman" w:hAnsi="Times New Roman"/>
                <w:color w:val="000000"/>
                <w:spacing w:val="-2"/>
              </w:rPr>
              <w:t xml:space="preserve">z obowiązku ponoszenia </w:t>
            </w:r>
            <w:r w:rsidRPr="00E66D30">
              <w:rPr>
                <w:rFonts w:ascii="Times New Roman" w:hAnsi="Times New Roman"/>
                <w:color w:val="000000"/>
              </w:rPr>
              <w:t>koszt</w:t>
            </w:r>
            <w:r>
              <w:rPr>
                <w:rFonts w:ascii="Times New Roman" w:hAnsi="Times New Roman"/>
                <w:color w:val="000000"/>
              </w:rPr>
              <w:t xml:space="preserve">ów </w:t>
            </w:r>
            <w:r w:rsidRPr="00E66D30">
              <w:rPr>
                <w:rFonts w:ascii="Times New Roman" w:hAnsi="Times New Roman"/>
                <w:color w:val="000000"/>
              </w:rPr>
              <w:t>egzekucyjny</w:t>
            </w:r>
            <w:r>
              <w:rPr>
                <w:rFonts w:ascii="Times New Roman" w:hAnsi="Times New Roman"/>
                <w:color w:val="000000"/>
              </w:rPr>
              <w:t>ch</w:t>
            </w:r>
            <w:r w:rsidR="00BB1807">
              <w:rPr>
                <w:rFonts w:ascii="Times New Roman" w:hAnsi="Times New Roman"/>
                <w:color w:val="000000"/>
              </w:rPr>
              <w:t>,</w:t>
            </w:r>
            <w:r>
              <w:rPr>
                <w:rFonts w:ascii="Times New Roman" w:hAnsi="Times New Roman"/>
                <w:color w:val="000000"/>
              </w:rPr>
              <w:t xml:space="preserve"> </w:t>
            </w:r>
          </w:p>
          <w:p w:rsidR="00BB1807" w:rsidRDefault="00BB1807" w:rsidP="00BB1807">
            <w:pPr>
              <w:spacing w:line="240" w:lineRule="auto"/>
              <w:rPr>
                <w:rFonts w:ascii="Times New Roman" w:hAnsi="Times New Roman"/>
                <w:color w:val="000000"/>
              </w:rPr>
            </w:pPr>
            <w:r>
              <w:rPr>
                <w:rFonts w:ascii="Times New Roman" w:hAnsi="Times New Roman"/>
                <w:color w:val="000000"/>
              </w:rPr>
              <w:t>- Zwolnienie wierzycieli z obowiązku zapłaty opłaty komorniczej,</w:t>
            </w:r>
          </w:p>
          <w:p w:rsidR="00260F33" w:rsidRPr="00B37C80" w:rsidRDefault="00D430FD" w:rsidP="00BB1807">
            <w:pPr>
              <w:spacing w:line="240" w:lineRule="auto"/>
              <w:rPr>
                <w:rFonts w:ascii="Times New Roman" w:hAnsi="Times New Roman"/>
                <w:color w:val="000000"/>
                <w:spacing w:val="-2"/>
              </w:rPr>
            </w:pPr>
            <w:r>
              <w:rPr>
                <w:rFonts w:ascii="Times New Roman" w:hAnsi="Times New Roman"/>
                <w:color w:val="000000"/>
              </w:rPr>
              <w:t>- Ponoszenie kosztów egzekucyjnych przez innych wierzycieli,</w:t>
            </w:r>
            <w:r w:rsidR="00376DB3">
              <w:rPr>
                <w:rFonts w:ascii="Times New Roman" w:hAnsi="Times New Roman"/>
                <w:color w:val="000000"/>
                <w:spacing w:val="-2"/>
              </w:rPr>
              <w:t xml:space="preserve"> gdy nie mogą być ściągnięte od zobowiązanego</w:t>
            </w:r>
            <w:r w:rsidR="004B1691">
              <w:rPr>
                <w:rFonts w:ascii="Times New Roman" w:hAnsi="Times New Roman"/>
                <w:color w:val="000000"/>
                <w:spacing w:val="-2"/>
              </w:rPr>
              <w:t>,</w:t>
            </w:r>
            <w:r>
              <w:rPr>
                <w:rFonts w:ascii="Times New Roman" w:hAnsi="Times New Roman"/>
                <w:color w:val="000000"/>
                <w:spacing w:val="-2"/>
              </w:rPr>
              <w:t xml:space="preserve"> w wysokości zgodn</w:t>
            </w:r>
            <w:r w:rsidR="00376DB3">
              <w:rPr>
                <w:rFonts w:ascii="Times New Roman" w:hAnsi="Times New Roman"/>
                <w:color w:val="000000"/>
                <w:spacing w:val="-2"/>
              </w:rPr>
              <w:t xml:space="preserve">ej z </w:t>
            </w:r>
            <w:r w:rsidR="00A05E47">
              <w:rPr>
                <w:rFonts w:ascii="Times New Roman" w:hAnsi="Times New Roman"/>
                <w:color w:val="000000"/>
                <w:spacing w:val="-2"/>
              </w:rPr>
              <w:t>wyrokiem TK</w:t>
            </w:r>
          </w:p>
        </w:tc>
      </w:tr>
      <w:tr w:rsidR="006A701A" w:rsidRPr="008B4FE6" w:rsidTr="00676C8D">
        <w:trPr>
          <w:gridAfter w:val="1"/>
          <w:wAfter w:w="10" w:type="dxa"/>
          <w:trHeight w:val="302"/>
        </w:trPr>
        <w:tc>
          <w:tcPr>
            <w:tcW w:w="10937" w:type="dxa"/>
            <w:gridSpan w:val="28"/>
            <w:shd w:val="clear" w:color="auto" w:fill="99CCFF"/>
            <w:vAlign w:val="center"/>
          </w:tcPr>
          <w:p w:rsidR="006A701A" w:rsidRPr="008B4FE6" w:rsidRDefault="001B3460"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w:t>
            </w:r>
            <w:r w:rsidR="0076658F">
              <w:rPr>
                <w:rFonts w:ascii="Times New Roman" w:hAnsi="Times New Roman"/>
                <w:b/>
                <w:color w:val="000000"/>
              </w:rPr>
              <w:t>,</w:t>
            </w:r>
            <w:r>
              <w:rPr>
                <w:rFonts w:ascii="Times New Roman" w:hAnsi="Times New Roman"/>
                <w:b/>
                <w:color w:val="000000"/>
              </w:rPr>
              <w:t xml:space="preserve"> czasu trwania </w:t>
            </w:r>
            <w:r w:rsidR="0076658F">
              <w:rPr>
                <w:rFonts w:ascii="Times New Roman" w:hAnsi="Times New Roman"/>
                <w:b/>
                <w:color w:val="000000"/>
              </w:rPr>
              <w:t xml:space="preserve">i podsumowanie wyników </w:t>
            </w:r>
            <w:r w:rsidRPr="008B4FE6">
              <w:rPr>
                <w:rFonts w:ascii="Times New Roman" w:hAnsi="Times New Roman"/>
                <w:b/>
                <w:color w:val="000000"/>
              </w:rPr>
              <w:t>konsultacji</w:t>
            </w:r>
          </w:p>
        </w:tc>
      </w:tr>
      <w:tr w:rsidR="006A701A" w:rsidRPr="008B4FE6" w:rsidTr="00676C8D">
        <w:trPr>
          <w:gridAfter w:val="1"/>
          <w:wAfter w:w="10" w:type="dxa"/>
          <w:trHeight w:val="342"/>
        </w:trPr>
        <w:tc>
          <w:tcPr>
            <w:tcW w:w="10937" w:type="dxa"/>
            <w:gridSpan w:val="28"/>
            <w:shd w:val="clear" w:color="auto" w:fill="FFFFFF"/>
          </w:tcPr>
          <w:p w:rsidR="00453B40" w:rsidRPr="00453B40" w:rsidRDefault="00453B40" w:rsidP="00453B40">
            <w:pPr>
              <w:pStyle w:val="Default"/>
              <w:jc w:val="both"/>
              <w:rPr>
                <w:sz w:val="22"/>
                <w:szCs w:val="22"/>
              </w:rPr>
            </w:pPr>
            <w:r>
              <w:rPr>
                <w:sz w:val="22"/>
                <w:szCs w:val="22"/>
                <w:lang w:eastAsia="en-US"/>
              </w:rPr>
              <w:t>P</w:t>
            </w:r>
            <w:r w:rsidRPr="00453B40">
              <w:rPr>
                <w:sz w:val="22"/>
                <w:szCs w:val="22"/>
                <w:lang w:eastAsia="en-US"/>
              </w:rPr>
              <w:t xml:space="preserve">re-konsultacje </w:t>
            </w:r>
            <w:r>
              <w:rPr>
                <w:sz w:val="22"/>
                <w:szCs w:val="22"/>
                <w:lang w:eastAsia="en-US"/>
              </w:rPr>
              <w:t>przeprowadzono z niektórymi izbami administracji sk</w:t>
            </w:r>
            <w:r w:rsidR="009D39B2">
              <w:rPr>
                <w:sz w:val="22"/>
                <w:szCs w:val="22"/>
                <w:lang w:eastAsia="en-US"/>
              </w:rPr>
              <w:t>arbowej (IAS w Gdańsku, IAS we W</w:t>
            </w:r>
            <w:r>
              <w:rPr>
                <w:sz w:val="22"/>
                <w:szCs w:val="22"/>
                <w:lang w:eastAsia="en-US"/>
              </w:rPr>
              <w:t>rocławiu, Centrum Kompetencyjnym Egzekucji Administracyjnej działającym przy Izbie Administracji Skarbowej w Szczecinie</w:t>
            </w:r>
            <w:r w:rsidR="007B4726">
              <w:rPr>
                <w:sz w:val="22"/>
                <w:szCs w:val="22"/>
                <w:lang w:eastAsia="en-US"/>
              </w:rPr>
              <w:t>)</w:t>
            </w:r>
            <w:r w:rsidRPr="00453B40">
              <w:rPr>
                <w:sz w:val="22"/>
                <w:szCs w:val="22"/>
                <w:lang w:eastAsia="en-US"/>
              </w:rPr>
              <w:t xml:space="preserve">. </w:t>
            </w:r>
          </w:p>
          <w:p w:rsidR="00453B40" w:rsidRPr="00453B40" w:rsidRDefault="00453B40" w:rsidP="00453B40">
            <w:pPr>
              <w:pStyle w:val="Default"/>
              <w:jc w:val="both"/>
              <w:rPr>
                <w:sz w:val="22"/>
                <w:szCs w:val="22"/>
                <w:lang w:eastAsia="en-US"/>
              </w:rPr>
            </w:pPr>
            <w:r w:rsidRPr="00453B40">
              <w:rPr>
                <w:sz w:val="22"/>
                <w:szCs w:val="22"/>
                <w:lang w:eastAsia="en-US"/>
              </w:rPr>
              <w:lastRenderedPageBreak/>
              <w:t xml:space="preserve">Projekt ustawy będzie przedmiotem konsultacji publicznych i opiniowania, w ramach których zostanie przedstawiony następującym podmiotom: Komisji Wspólnej Rządu i Samorządu Terytorialnego, Zakładowi Ubezpieczeń Społecznych, Agencji Mienia Wojskowego, Związkowi Miast Polskich, Związkowi Gmin Wiejskich RP, Unii Metropolii Polskich, Konwentowi Marszałków Województw RP, Ubezpieczeniowemu Funduszowi Gwarancyjnemu, Kasie Rolniczego Ubezpieczenia Społecznego, Urzędowi Komunikacji Elektronicznej, Poczcie Polskiej S.A. </w:t>
            </w:r>
          </w:p>
          <w:p w:rsidR="009D39B2" w:rsidRDefault="00453B40" w:rsidP="00453B40">
            <w:pPr>
              <w:pStyle w:val="Default"/>
              <w:jc w:val="both"/>
              <w:rPr>
                <w:sz w:val="22"/>
                <w:szCs w:val="22"/>
                <w:lang w:eastAsia="en-US"/>
              </w:rPr>
            </w:pPr>
            <w:r w:rsidRPr="00453B40">
              <w:rPr>
                <w:sz w:val="22"/>
                <w:szCs w:val="22"/>
              </w:rPr>
              <w:t>Nie przewiduje się skrócenia wymaganego czasu na zgłaszanie uwag w ramach konsultacji</w:t>
            </w:r>
            <w:r w:rsidRPr="00453B40">
              <w:rPr>
                <w:sz w:val="22"/>
                <w:szCs w:val="22"/>
                <w:lang w:eastAsia="en-US"/>
              </w:rPr>
              <w:t xml:space="preserve"> i opiniowania. </w:t>
            </w:r>
          </w:p>
          <w:p w:rsidR="00453B40" w:rsidRPr="00453B40" w:rsidRDefault="00453B40" w:rsidP="00453B40">
            <w:pPr>
              <w:pStyle w:val="Default"/>
              <w:jc w:val="both"/>
              <w:rPr>
                <w:sz w:val="22"/>
                <w:szCs w:val="22"/>
              </w:rPr>
            </w:pPr>
            <w:r w:rsidRPr="00453B40">
              <w:rPr>
                <w:sz w:val="22"/>
                <w:szCs w:val="22"/>
                <w:lang w:eastAsia="en-US"/>
              </w:rPr>
              <w:t>Stosownie do treści art. 5 ustawy z dnia 7 lipca 2005 r. o działalności lobbingowej w</w:t>
            </w:r>
            <w:r w:rsidR="00AF2E52">
              <w:rPr>
                <w:sz w:val="22"/>
                <w:szCs w:val="22"/>
                <w:lang w:eastAsia="en-US"/>
              </w:rPr>
              <w:t xml:space="preserve"> </w:t>
            </w:r>
            <w:r w:rsidRPr="00453B40">
              <w:rPr>
                <w:sz w:val="22"/>
                <w:szCs w:val="22"/>
                <w:lang w:eastAsia="en-US"/>
              </w:rPr>
              <w:t>procesie stanowienia prawa (Dz. U.</w:t>
            </w:r>
            <w:r w:rsidR="00AF2E52">
              <w:rPr>
                <w:sz w:val="22"/>
                <w:szCs w:val="22"/>
                <w:lang w:eastAsia="en-US"/>
              </w:rPr>
              <w:t xml:space="preserve"> z 2017 r.</w:t>
            </w:r>
            <w:r w:rsidRPr="00453B40">
              <w:rPr>
                <w:sz w:val="22"/>
                <w:szCs w:val="22"/>
                <w:lang w:eastAsia="en-US"/>
              </w:rPr>
              <w:t xml:space="preserve"> poz. </w:t>
            </w:r>
            <w:r w:rsidR="00AF2E52">
              <w:rPr>
                <w:sz w:val="22"/>
                <w:szCs w:val="22"/>
                <w:lang w:eastAsia="en-US"/>
              </w:rPr>
              <w:t>248</w:t>
            </w:r>
            <w:r w:rsidR="009A02D5">
              <w:rPr>
                <w:sz w:val="22"/>
                <w:szCs w:val="22"/>
                <w:lang w:eastAsia="en-US"/>
              </w:rPr>
              <w:t>) projekt został</w:t>
            </w:r>
            <w:r w:rsidRPr="00453B40">
              <w:rPr>
                <w:sz w:val="22"/>
                <w:szCs w:val="22"/>
                <w:lang w:eastAsia="en-US"/>
              </w:rPr>
              <w:t xml:space="preserve"> udostępniony w Biuletynie Informacji Publicznej Rządowego Centrum Legislacji w</w:t>
            </w:r>
            <w:r w:rsidR="009D39B2">
              <w:rPr>
                <w:sz w:val="22"/>
                <w:szCs w:val="22"/>
                <w:lang w:eastAsia="en-US"/>
              </w:rPr>
              <w:t> </w:t>
            </w:r>
            <w:r w:rsidRPr="00453B40">
              <w:rPr>
                <w:sz w:val="22"/>
                <w:szCs w:val="22"/>
                <w:lang w:eastAsia="en-US"/>
              </w:rPr>
              <w:t>zakładce Rządowy Proces Legislacyjny w celu umożliwienia zgłaszania opinii na jego temat przez wszystkie zainteresowane podmioty oraz zostanie przesłany drogą elektroniczną do ww. podmiotów.</w:t>
            </w:r>
          </w:p>
          <w:p w:rsidR="006A701A" w:rsidRPr="00B37C80" w:rsidRDefault="00453B40" w:rsidP="00AF2E52">
            <w:pPr>
              <w:pStyle w:val="Default"/>
              <w:jc w:val="both"/>
              <w:rPr>
                <w:spacing w:val="-2"/>
              </w:rPr>
            </w:pPr>
            <w:r w:rsidRPr="00453B40">
              <w:rPr>
                <w:sz w:val="22"/>
                <w:szCs w:val="22"/>
                <w:lang w:eastAsia="en-US"/>
              </w:rPr>
              <w:t>Projekt nie dotyczy spraw, o których mowa w art. 1 ustawy z dnia 24 lipca 2015 r. o Radzie Dialogu Społecznego (Dz.</w:t>
            </w:r>
            <w:r w:rsidR="00AF2E52">
              <w:rPr>
                <w:sz w:val="22"/>
                <w:szCs w:val="22"/>
                <w:lang w:eastAsia="en-US"/>
              </w:rPr>
              <w:t> </w:t>
            </w:r>
            <w:r w:rsidRPr="00453B40">
              <w:rPr>
                <w:sz w:val="22"/>
                <w:szCs w:val="22"/>
                <w:lang w:eastAsia="en-US"/>
              </w:rPr>
              <w:t xml:space="preserve"> U. poz. 1240). Z uwagi na zakres projektu, który nie dotyczy problematyki zadań związków zawodowych, projekt nie podlega opiniowaniu przez reprezentatywne związki zawodowe.</w:t>
            </w:r>
            <w:r w:rsidR="00AF2E52">
              <w:rPr>
                <w:sz w:val="22"/>
                <w:szCs w:val="22"/>
                <w:lang w:eastAsia="en-US"/>
              </w:rPr>
              <w:t xml:space="preserve"> </w:t>
            </w:r>
          </w:p>
        </w:tc>
      </w:tr>
      <w:tr w:rsidR="006A701A" w:rsidRPr="008B4FE6" w:rsidTr="00676C8D">
        <w:trPr>
          <w:gridAfter w:val="1"/>
          <w:wAfter w:w="10" w:type="dxa"/>
          <w:trHeight w:val="363"/>
        </w:trPr>
        <w:tc>
          <w:tcPr>
            <w:tcW w:w="10937" w:type="dxa"/>
            <w:gridSpan w:val="28"/>
            <w:shd w:val="clear" w:color="auto" w:fill="99CCFF"/>
            <w:vAlign w:val="center"/>
          </w:tcPr>
          <w:p w:rsidR="006A701A" w:rsidRPr="008B4FE6" w:rsidRDefault="006A701A" w:rsidP="0072636A">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260F33" w:rsidRPr="008B4FE6" w:rsidTr="00E87163">
        <w:trPr>
          <w:gridAfter w:val="1"/>
          <w:wAfter w:w="10" w:type="dxa"/>
          <w:trHeight w:val="142"/>
        </w:trPr>
        <w:tc>
          <w:tcPr>
            <w:tcW w:w="2124" w:type="dxa"/>
            <w:gridSpan w:val="2"/>
            <w:vMerge w:val="restart"/>
            <w:shd w:val="clear" w:color="auto" w:fill="FFFFFF"/>
          </w:tcPr>
          <w:p w:rsidR="00260F33" w:rsidRPr="00C53F26" w:rsidRDefault="00821717" w:rsidP="00821717">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sidR="00CF5F4F">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8813" w:type="dxa"/>
            <w:gridSpan w:val="26"/>
            <w:shd w:val="clear" w:color="auto" w:fill="FFFFFF"/>
          </w:tcPr>
          <w:p w:rsidR="00260F33" w:rsidRPr="00C53F26" w:rsidRDefault="00260F33" w:rsidP="00260F33">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sidR="00A056CB">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E87163" w:rsidRPr="008B4FE6" w:rsidTr="00E87163">
        <w:trPr>
          <w:gridAfter w:val="1"/>
          <w:wAfter w:w="10" w:type="dxa"/>
          <w:trHeight w:val="142"/>
        </w:trPr>
        <w:tc>
          <w:tcPr>
            <w:tcW w:w="2124" w:type="dxa"/>
            <w:gridSpan w:val="2"/>
            <w:vMerge/>
            <w:shd w:val="clear" w:color="auto" w:fill="FFFFFF"/>
          </w:tcPr>
          <w:p w:rsidR="0057668E" w:rsidRPr="00C53F26" w:rsidRDefault="0057668E" w:rsidP="00A52ADB">
            <w:pPr>
              <w:spacing w:before="40" w:after="40" w:line="240" w:lineRule="auto"/>
              <w:rPr>
                <w:rFonts w:ascii="Times New Roman" w:hAnsi="Times New Roman"/>
                <w:i/>
                <w:color w:val="000000"/>
                <w:sz w:val="21"/>
                <w:szCs w:val="21"/>
              </w:rPr>
            </w:pPr>
          </w:p>
        </w:tc>
        <w:tc>
          <w:tcPr>
            <w:tcW w:w="708" w:type="dxa"/>
            <w:gridSpan w:val="3"/>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709" w:type="dxa"/>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712"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709" w:type="dxa"/>
            <w:gridSpan w:val="3"/>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709"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709"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704" w:type="dxa"/>
            <w:gridSpan w:val="3"/>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708" w:type="dxa"/>
            <w:gridSpan w:val="3"/>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709"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709"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708"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019" w:type="dxa"/>
            <w:shd w:val="clear" w:color="auto" w:fill="FFFFFF"/>
          </w:tcPr>
          <w:p w:rsidR="0057668E" w:rsidRPr="00C53F26" w:rsidRDefault="0057668E" w:rsidP="00A52ADB">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sidR="00CF5F4F">
              <w:rPr>
                <w:rFonts w:ascii="Times New Roman" w:hAnsi="Times New Roman"/>
                <w:i/>
                <w:color w:val="000000"/>
                <w:spacing w:val="-2"/>
                <w:sz w:val="21"/>
                <w:szCs w:val="21"/>
              </w:rPr>
              <w:t xml:space="preserve"> (0-10)</w:t>
            </w:r>
          </w:p>
        </w:tc>
      </w:tr>
      <w:tr w:rsidR="00646F1A" w:rsidRPr="008B4FE6" w:rsidTr="00E87163">
        <w:trPr>
          <w:trHeight w:val="321"/>
        </w:trPr>
        <w:tc>
          <w:tcPr>
            <w:tcW w:w="2124" w:type="dxa"/>
            <w:gridSpan w:val="2"/>
            <w:shd w:val="clear" w:color="auto" w:fill="FFFFFF"/>
            <w:vAlign w:val="center"/>
          </w:tcPr>
          <w:p w:rsidR="00646F1A" w:rsidRPr="00C53F26" w:rsidRDefault="00646F1A" w:rsidP="00646F1A">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708" w:type="dxa"/>
            <w:gridSpan w:val="3"/>
            <w:shd w:val="clear" w:color="auto" w:fill="FFFFFF"/>
          </w:tcPr>
          <w:p w:rsidR="00646F1A" w:rsidRPr="00B37C80" w:rsidRDefault="00917E42" w:rsidP="00917E42">
            <w:pPr>
              <w:spacing w:line="240" w:lineRule="auto"/>
              <w:rPr>
                <w:rFonts w:ascii="Times New Roman" w:hAnsi="Times New Roman"/>
                <w:color w:val="000000"/>
                <w:sz w:val="21"/>
                <w:szCs w:val="21"/>
              </w:rPr>
            </w:pPr>
            <w:r>
              <w:rPr>
                <w:rFonts w:ascii="Times New Roman" w:hAnsi="Times New Roman"/>
                <w:color w:val="000000"/>
                <w:sz w:val="21"/>
                <w:szCs w:val="21"/>
              </w:rPr>
              <w:t>96,66</w:t>
            </w:r>
          </w:p>
        </w:tc>
        <w:tc>
          <w:tcPr>
            <w:tcW w:w="709" w:type="dxa"/>
            <w:shd w:val="clear" w:color="auto" w:fill="FFFFFF"/>
          </w:tcPr>
          <w:p w:rsidR="00646F1A" w:rsidRPr="00077F2F" w:rsidRDefault="00646F1A" w:rsidP="00646F1A">
            <w:pPr>
              <w:spacing w:line="240" w:lineRule="auto"/>
              <w:rPr>
                <w:rFonts w:ascii="Times New Roman" w:hAnsi="Times New Roman"/>
                <w:color w:val="000000"/>
                <w:sz w:val="14"/>
                <w:szCs w:val="14"/>
              </w:rPr>
            </w:pPr>
            <w:r w:rsidRPr="00077F2F">
              <w:rPr>
                <w:rFonts w:ascii="Times New Roman" w:hAnsi="Times New Roman"/>
                <w:color w:val="000000"/>
                <w:sz w:val="14"/>
                <w:szCs w:val="14"/>
              </w:rPr>
              <w:t>179,64</w:t>
            </w:r>
          </w:p>
        </w:tc>
        <w:tc>
          <w:tcPr>
            <w:tcW w:w="712" w:type="dxa"/>
            <w:gridSpan w:val="2"/>
            <w:shd w:val="clear" w:color="auto" w:fill="FFFFFF"/>
          </w:tcPr>
          <w:p w:rsidR="00646F1A" w:rsidRPr="00077F2F" w:rsidRDefault="00646F1A" w:rsidP="00646F1A">
            <w:pPr>
              <w:spacing w:line="240" w:lineRule="auto"/>
              <w:rPr>
                <w:rFonts w:ascii="Times New Roman" w:hAnsi="Times New Roman"/>
                <w:color w:val="000000"/>
                <w:sz w:val="14"/>
                <w:szCs w:val="14"/>
              </w:rPr>
            </w:pPr>
            <w:r>
              <w:rPr>
                <w:rFonts w:ascii="Times New Roman" w:hAnsi="Times New Roman"/>
                <w:color w:val="000000"/>
                <w:sz w:val="14"/>
                <w:szCs w:val="14"/>
              </w:rPr>
              <w:t>275,26</w:t>
            </w:r>
          </w:p>
        </w:tc>
        <w:tc>
          <w:tcPr>
            <w:tcW w:w="709" w:type="dxa"/>
            <w:gridSpan w:val="3"/>
            <w:shd w:val="clear" w:color="auto" w:fill="FFFFFF"/>
          </w:tcPr>
          <w:p w:rsidR="00646F1A" w:rsidRPr="00077F2F" w:rsidRDefault="00646F1A" w:rsidP="00646F1A">
            <w:pPr>
              <w:spacing w:line="240" w:lineRule="auto"/>
              <w:rPr>
                <w:rFonts w:ascii="Times New Roman" w:hAnsi="Times New Roman"/>
                <w:color w:val="000000"/>
                <w:sz w:val="14"/>
                <w:szCs w:val="14"/>
              </w:rPr>
            </w:pPr>
            <w:r>
              <w:rPr>
                <w:rFonts w:ascii="Times New Roman" w:hAnsi="Times New Roman"/>
                <w:color w:val="000000"/>
                <w:sz w:val="14"/>
                <w:szCs w:val="14"/>
              </w:rPr>
              <w:t>418,70</w:t>
            </w:r>
          </w:p>
        </w:tc>
        <w:tc>
          <w:tcPr>
            <w:tcW w:w="709" w:type="dxa"/>
            <w:gridSpan w:val="2"/>
            <w:shd w:val="clear" w:color="auto" w:fill="FFFFFF"/>
          </w:tcPr>
          <w:p w:rsidR="00646F1A" w:rsidRPr="00077F2F" w:rsidRDefault="00646F1A" w:rsidP="00646F1A">
            <w:pPr>
              <w:spacing w:line="240" w:lineRule="auto"/>
              <w:rPr>
                <w:rFonts w:ascii="Times New Roman" w:hAnsi="Times New Roman"/>
                <w:color w:val="000000"/>
                <w:sz w:val="14"/>
                <w:szCs w:val="14"/>
              </w:rPr>
            </w:pPr>
            <w:r w:rsidRPr="00AE0C5F">
              <w:rPr>
                <w:rFonts w:ascii="Times New Roman" w:hAnsi="Times New Roman"/>
                <w:color w:val="000000"/>
                <w:sz w:val="14"/>
                <w:szCs w:val="14"/>
              </w:rPr>
              <w:t>418,70</w:t>
            </w:r>
          </w:p>
        </w:tc>
        <w:tc>
          <w:tcPr>
            <w:tcW w:w="709" w:type="dxa"/>
            <w:gridSpan w:val="2"/>
            <w:shd w:val="clear" w:color="auto" w:fill="FFFFFF"/>
          </w:tcPr>
          <w:p w:rsidR="00646F1A" w:rsidRPr="00077F2F" w:rsidRDefault="00646F1A" w:rsidP="00646F1A">
            <w:pPr>
              <w:spacing w:line="240" w:lineRule="auto"/>
              <w:rPr>
                <w:rFonts w:ascii="Times New Roman" w:hAnsi="Times New Roman"/>
                <w:color w:val="000000"/>
                <w:sz w:val="14"/>
                <w:szCs w:val="14"/>
              </w:rPr>
            </w:pPr>
            <w:r w:rsidRPr="00AE0C5F">
              <w:rPr>
                <w:rFonts w:ascii="Times New Roman" w:hAnsi="Times New Roman"/>
                <w:color w:val="000000"/>
                <w:sz w:val="14"/>
                <w:szCs w:val="14"/>
              </w:rPr>
              <w:t>418,70</w:t>
            </w:r>
          </w:p>
        </w:tc>
        <w:tc>
          <w:tcPr>
            <w:tcW w:w="704" w:type="dxa"/>
            <w:gridSpan w:val="3"/>
            <w:shd w:val="clear" w:color="auto" w:fill="FFFFFF"/>
          </w:tcPr>
          <w:p w:rsidR="00646F1A" w:rsidRPr="00077F2F" w:rsidRDefault="00646F1A" w:rsidP="00646F1A">
            <w:pPr>
              <w:spacing w:line="240" w:lineRule="auto"/>
              <w:rPr>
                <w:rFonts w:ascii="Times New Roman" w:hAnsi="Times New Roman"/>
                <w:color w:val="000000"/>
                <w:sz w:val="14"/>
                <w:szCs w:val="14"/>
              </w:rPr>
            </w:pPr>
            <w:r w:rsidRPr="00AE0C5F">
              <w:rPr>
                <w:rFonts w:ascii="Times New Roman" w:hAnsi="Times New Roman"/>
                <w:color w:val="000000"/>
                <w:sz w:val="14"/>
                <w:szCs w:val="14"/>
              </w:rPr>
              <w:t>418,70</w:t>
            </w:r>
          </w:p>
        </w:tc>
        <w:tc>
          <w:tcPr>
            <w:tcW w:w="708" w:type="dxa"/>
            <w:gridSpan w:val="3"/>
            <w:shd w:val="clear" w:color="auto" w:fill="FFFFFF"/>
          </w:tcPr>
          <w:p w:rsidR="00646F1A" w:rsidRPr="00077F2F" w:rsidRDefault="00646F1A" w:rsidP="00646F1A">
            <w:pPr>
              <w:spacing w:line="240" w:lineRule="auto"/>
              <w:rPr>
                <w:rFonts w:ascii="Times New Roman" w:hAnsi="Times New Roman"/>
                <w:color w:val="000000"/>
                <w:sz w:val="14"/>
                <w:szCs w:val="14"/>
              </w:rPr>
            </w:pPr>
            <w:r w:rsidRPr="00AE0C5F">
              <w:rPr>
                <w:rFonts w:ascii="Times New Roman" w:hAnsi="Times New Roman"/>
                <w:color w:val="000000"/>
                <w:sz w:val="14"/>
                <w:szCs w:val="14"/>
              </w:rPr>
              <w:t>418,70</w:t>
            </w:r>
          </w:p>
        </w:tc>
        <w:tc>
          <w:tcPr>
            <w:tcW w:w="709" w:type="dxa"/>
            <w:gridSpan w:val="2"/>
            <w:shd w:val="clear" w:color="auto" w:fill="FFFFFF"/>
          </w:tcPr>
          <w:p w:rsidR="00646F1A" w:rsidRPr="00077F2F" w:rsidRDefault="00646F1A" w:rsidP="00646F1A">
            <w:pPr>
              <w:spacing w:line="240" w:lineRule="auto"/>
              <w:rPr>
                <w:rFonts w:ascii="Times New Roman" w:hAnsi="Times New Roman"/>
                <w:color w:val="000000"/>
                <w:sz w:val="14"/>
                <w:szCs w:val="14"/>
              </w:rPr>
            </w:pPr>
            <w:r w:rsidRPr="00AE0C5F">
              <w:rPr>
                <w:rFonts w:ascii="Times New Roman" w:hAnsi="Times New Roman"/>
                <w:color w:val="000000"/>
                <w:sz w:val="14"/>
                <w:szCs w:val="14"/>
              </w:rPr>
              <w:t>418,70</w:t>
            </w:r>
          </w:p>
        </w:tc>
        <w:tc>
          <w:tcPr>
            <w:tcW w:w="709" w:type="dxa"/>
            <w:gridSpan w:val="2"/>
            <w:shd w:val="clear" w:color="auto" w:fill="FFFFFF"/>
          </w:tcPr>
          <w:p w:rsidR="00646F1A" w:rsidRPr="00077F2F" w:rsidRDefault="00646F1A" w:rsidP="00646F1A">
            <w:pPr>
              <w:spacing w:line="240" w:lineRule="auto"/>
              <w:rPr>
                <w:rFonts w:ascii="Times New Roman" w:hAnsi="Times New Roman"/>
                <w:color w:val="000000"/>
                <w:sz w:val="14"/>
                <w:szCs w:val="14"/>
              </w:rPr>
            </w:pPr>
            <w:r w:rsidRPr="00AE0C5F">
              <w:rPr>
                <w:rFonts w:ascii="Times New Roman" w:hAnsi="Times New Roman"/>
                <w:color w:val="000000"/>
                <w:sz w:val="14"/>
                <w:szCs w:val="14"/>
              </w:rPr>
              <w:t>418,70</w:t>
            </w:r>
          </w:p>
        </w:tc>
        <w:tc>
          <w:tcPr>
            <w:tcW w:w="708" w:type="dxa"/>
            <w:gridSpan w:val="2"/>
            <w:shd w:val="clear" w:color="auto" w:fill="FFFFFF"/>
          </w:tcPr>
          <w:p w:rsidR="00646F1A" w:rsidRPr="00077F2F" w:rsidRDefault="00646F1A" w:rsidP="00646F1A">
            <w:pPr>
              <w:spacing w:line="240" w:lineRule="auto"/>
              <w:rPr>
                <w:rFonts w:ascii="Times New Roman" w:hAnsi="Times New Roman"/>
                <w:color w:val="000000"/>
                <w:sz w:val="14"/>
                <w:szCs w:val="14"/>
              </w:rPr>
            </w:pPr>
            <w:r w:rsidRPr="00AE0C5F">
              <w:rPr>
                <w:rFonts w:ascii="Times New Roman" w:hAnsi="Times New Roman"/>
                <w:color w:val="000000"/>
                <w:sz w:val="14"/>
                <w:szCs w:val="14"/>
              </w:rPr>
              <w:t>418,70</w:t>
            </w:r>
          </w:p>
        </w:tc>
        <w:tc>
          <w:tcPr>
            <w:tcW w:w="1029" w:type="dxa"/>
            <w:gridSpan w:val="2"/>
            <w:shd w:val="clear" w:color="auto" w:fill="FFFFFF"/>
          </w:tcPr>
          <w:p w:rsidR="00646F1A" w:rsidRPr="00B37C80" w:rsidRDefault="00646F1A" w:rsidP="00917E42">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3</w:t>
            </w:r>
            <w:r w:rsidR="00917E42">
              <w:rPr>
                <w:rFonts w:ascii="Times New Roman" w:hAnsi="Times New Roman"/>
                <w:color w:val="000000"/>
                <w:spacing w:val="-2"/>
                <w:sz w:val="21"/>
                <w:szCs w:val="21"/>
              </w:rPr>
              <w:t>901,16</w:t>
            </w:r>
          </w:p>
        </w:tc>
      </w:tr>
      <w:tr w:rsidR="00E87163" w:rsidRPr="008B4FE6" w:rsidTr="00E87163">
        <w:trPr>
          <w:trHeight w:val="321"/>
        </w:trPr>
        <w:tc>
          <w:tcPr>
            <w:tcW w:w="2124" w:type="dxa"/>
            <w:gridSpan w:val="2"/>
            <w:shd w:val="clear" w:color="auto" w:fill="FFFFFF"/>
            <w:vAlign w:val="center"/>
          </w:tcPr>
          <w:p w:rsidR="00AF2E52" w:rsidRPr="00C53F26" w:rsidRDefault="00AF2E52"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708" w:type="dxa"/>
            <w:gridSpan w:val="3"/>
            <w:shd w:val="clear" w:color="auto" w:fill="FFFFFF"/>
          </w:tcPr>
          <w:p w:rsidR="00AF2E52" w:rsidRPr="00E87163" w:rsidRDefault="00917E42" w:rsidP="009A02D5">
            <w:pPr>
              <w:spacing w:line="240" w:lineRule="auto"/>
              <w:rPr>
                <w:rFonts w:ascii="Times New Roman" w:hAnsi="Times New Roman"/>
                <w:color w:val="000000"/>
                <w:sz w:val="14"/>
                <w:szCs w:val="14"/>
              </w:rPr>
            </w:pPr>
            <w:r>
              <w:rPr>
                <w:rFonts w:ascii="Times New Roman" w:hAnsi="Times New Roman"/>
                <w:color w:val="000000"/>
                <w:sz w:val="21"/>
                <w:szCs w:val="21"/>
              </w:rPr>
              <w:t>78,47</w:t>
            </w:r>
          </w:p>
        </w:tc>
        <w:tc>
          <w:tcPr>
            <w:tcW w:w="709" w:type="dxa"/>
            <w:shd w:val="clear" w:color="auto" w:fill="FFFFFF"/>
          </w:tcPr>
          <w:p w:rsidR="00AF2E52" w:rsidRPr="00E87163" w:rsidRDefault="00F505C5" w:rsidP="009A02D5">
            <w:pPr>
              <w:spacing w:line="240" w:lineRule="auto"/>
              <w:rPr>
                <w:rFonts w:ascii="Times New Roman" w:hAnsi="Times New Roman"/>
                <w:color w:val="000000"/>
                <w:sz w:val="14"/>
                <w:szCs w:val="14"/>
              </w:rPr>
            </w:pPr>
            <w:r>
              <w:rPr>
                <w:rFonts w:ascii="Times New Roman" w:hAnsi="Times New Roman"/>
                <w:color w:val="000000"/>
                <w:sz w:val="14"/>
                <w:szCs w:val="14"/>
              </w:rPr>
              <w:t>136,76</w:t>
            </w:r>
          </w:p>
        </w:tc>
        <w:tc>
          <w:tcPr>
            <w:tcW w:w="712" w:type="dxa"/>
            <w:gridSpan w:val="2"/>
            <w:shd w:val="clear" w:color="auto" w:fill="FFFFFF"/>
          </w:tcPr>
          <w:p w:rsidR="00AF2E52" w:rsidRPr="00E87163" w:rsidRDefault="00F505C5" w:rsidP="009A02D5">
            <w:pPr>
              <w:spacing w:line="240" w:lineRule="auto"/>
              <w:rPr>
                <w:rFonts w:ascii="Times New Roman" w:hAnsi="Times New Roman"/>
                <w:color w:val="000000"/>
                <w:sz w:val="14"/>
                <w:szCs w:val="14"/>
              </w:rPr>
            </w:pPr>
            <w:r>
              <w:rPr>
                <w:rFonts w:ascii="Times New Roman" w:hAnsi="Times New Roman"/>
                <w:color w:val="000000"/>
                <w:sz w:val="14"/>
                <w:szCs w:val="14"/>
              </w:rPr>
              <w:t>215,23</w:t>
            </w:r>
          </w:p>
        </w:tc>
        <w:tc>
          <w:tcPr>
            <w:tcW w:w="709" w:type="dxa"/>
            <w:gridSpan w:val="3"/>
            <w:shd w:val="clear" w:color="auto" w:fill="FFFFFF"/>
          </w:tcPr>
          <w:p w:rsidR="00AF2E52" w:rsidRPr="00E87163" w:rsidRDefault="00F505C5" w:rsidP="009A02D5">
            <w:pPr>
              <w:spacing w:line="240" w:lineRule="auto"/>
              <w:rPr>
                <w:rFonts w:ascii="Times New Roman" w:hAnsi="Times New Roman"/>
                <w:color w:val="000000"/>
                <w:sz w:val="14"/>
                <w:szCs w:val="14"/>
              </w:rPr>
            </w:pPr>
            <w:r>
              <w:rPr>
                <w:rFonts w:ascii="Times New Roman" w:hAnsi="Times New Roman"/>
                <w:color w:val="000000"/>
                <w:sz w:val="14"/>
                <w:szCs w:val="14"/>
              </w:rPr>
              <w:t>332,94</w:t>
            </w:r>
          </w:p>
        </w:tc>
        <w:tc>
          <w:tcPr>
            <w:tcW w:w="709" w:type="dxa"/>
            <w:gridSpan w:val="2"/>
            <w:shd w:val="clear" w:color="auto" w:fill="FFFFFF"/>
          </w:tcPr>
          <w:p w:rsidR="00AF2E52" w:rsidRPr="00E87163" w:rsidRDefault="00F505C5" w:rsidP="00BC37C9">
            <w:pPr>
              <w:spacing w:line="240" w:lineRule="auto"/>
              <w:rPr>
                <w:rFonts w:ascii="Times New Roman" w:hAnsi="Times New Roman"/>
                <w:color w:val="000000"/>
                <w:sz w:val="14"/>
                <w:szCs w:val="14"/>
              </w:rPr>
            </w:pPr>
            <w:r>
              <w:rPr>
                <w:rFonts w:ascii="Times New Roman" w:hAnsi="Times New Roman"/>
                <w:color w:val="000000"/>
                <w:sz w:val="14"/>
                <w:szCs w:val="14"/>
              </w:rPr>
              <w:t>332,94</w:t>
            </w:r>
          </w:p>
        </w:tc>
        <w:tc>
          <w:tcPr>
            <w:tcW w:w="709" w:type="dxa"/>
            <w:gridSpan w:val="2"/>
            <w:shd w:val="clear" w:color="auto" w:fill="FFFFFF"/>
          </w:tcPr>
          <w:p w:rsidR="00AF2E52" w:rsidRPr="00E87163" w:rsidRDefault="00F505C5" w:rsidP="00BC37C9">
            <w:pPr>
              <w:spacing w:line="240" w:lineRule="auto"/>
              <w:rPr>
                <w:rFonts w:ascii="Times New Roman" w:hAnsi="Times New Roman"/>
                <w:color w:val="000000"/>
                <w:sz w:val="14"/>
                <w:szCs w:val="14"/>
              </w:rPr>
            </w:pPr>
            <w:r>
              <w:rPr>
                <w:rFonts w:ascii="Times New Roman" w:hAnsi="Times New Roman"/>
                <w:color w:val="000000"/>
                <w:sz w:val="14"/>
                <w:szCs w:val="14"/>
              </w:rPr>
              <w:t>332,94</w:t>
            </w:r>
          </w:p>
        </w:tc>
        <w:tc>
          <w:tcPr>
            <w:tcW w:w="704" w:type="dxa"/>
            <w:gridSpan w:val="3"/>
            <w:shd w:val="clear" w:color="auto" w:fill="FFFFFF"/>
          </w:tcPr>
          <w:p w:rsidR="00AF2E52" w:rsidRPr="00E87163" w:rsidRDefault="00F505C5" w:rsidP="00BC37C9">
            <w:pPr>
              <w:spacing w:line="240" w:lineRule="auto"/>
              <w:rPr>
                <w:rFonts w:ascii="Times New Roman" w:hAnsi="Times New Roman"/>
                <w:color w:val="000000"/>
                <w:sz w:val="14"/>
                <w:szCs w:val="14"/>
              </w:rPr>
            </w:pPr>
            <w:r>
              <w:rPr>
                <w:rFonts w:ascii="Times New Roman" w:hAnsi="Times New Roman"/>
                <w:color w:val="000000"/>
                <w:sz w:val="14"/>
                <w:szCs w:val="14"/>
              </w:rPr>
              <w:t>332,94</w:t>
            </w:r>
          </w:p>
        </w:tc>
        <w:tc>
          <w:tcPr>
            <w:tcW w:w="708" w:type="dxa"/>
            <w:gridSpan w:val="3"/>
            <w:shd w:val="clear" w:color="auto" w:fill="FFFFFF"/>
          </w:tcPr>
          <w:p w:rsidR="00AF2E52" w:rsidRPr="00E87163" w:rsidRDefault="00F505C5" w:rsidP="00BC37C9">
            <w:pPr>
              <w:spacing w:line="240" w:lineRule="auto"/>
              <w:rPr>
                <w:rFonts w:ascii="Times New Roman" w:hAnsi="Times New Roman"/>
                <w:color w:val="000000"/>
                <w:sz w:val="14"/>
                <w:szCs w:val="14"/>
              </w:rPr>
            </w:pPr>
            <w:r>
              <w:rPr>
                <w:rFonts w:ascii="Times New Roman" w:hAnsi="Times New Roman"/>
                <w:color w:val="000000"/>
                <w:sz w:val="14"/>
                <w:szCs w:val="14"/>
              </w:rPr>
              <w:t>332,94</w:t>
            </w:r>
          </w:p>
        </w:tc>
        <w:tc>
          <w:tcPr>
            <w:tcW w:w="709" w:type="dxa"/>
            <w:gridSpan w:val="2"/>
            <w:shd w:val="clear" w:color="auto" w:fill="FFFFFF"/>
          </w:tcPr>
          <w:p w:rsidR="00AF2E52" w:rsidRPr="00E87163" w:rsidRDefault="00F505C5" w:rsidP="00BC37C9">
            <w:pPr>
              <w:spacing w:line="240" w:lineRule="auto"/>
              <w:rPr>
                <w:rFonts w:ascii="Times New Roman" w:hAnsi="Times New Roman"/>
                <w:color w:val="000000"/>
                <w:sz w:val="14"/>
                <w:szCs w:val="14"/>
              </w:rPr>
            </w:pPr>
            <w:r>
              <w:rPr>
                <w:rFonts w:ascii="Times New Roman" w:hAnsi="Times New Roman"/>
                <w:color w:val="000000"/>
                <w:sz w:val="14"/>
                <w:szCs w:val="14"/>
              </w:rPr>
              <w:t>332,94</w:t>
            </w:r>
          </w:p>
        </w:tc>
        <w:tc>
          <w:tcPr>
            <w:tcW w:w="709" w:type="dxa"/>
            <w:gridSpan w:val="2"/>
            <w:shd w:val="clear" w:color="auto" w:fill="FFFFFF"/>
          </w:tcPr>
          <w:p w:rsidR="00AF2E52" w:rsidRPr="00E87163" w:rsidRDefault="00F505C5" w:rsidP="00BC37C9">
            <w:pPr>
              <w:spacing w:line="240" w:lineRule="auto"/>
              <w:rPr>
                <w:rFonts w:ascii="Times New Roman" w:hAnsi="Times New Roman"/>
                <w:color w:val="000000"/>
                <w:sz w:val="14"/>
                <w:szCs w:val="14"/>
              </w:rPr>
            </w:pPr>
            <w:r>
              <w:rPr>
                <w:rFonts w:ascii="Times New Roman" w:hAnsi="Times New Roman"/>
                <w:color w:val="000000"/>
                <w:sz w:val="14"/>
                <w:szCs w:val="14"/>
              </w:rPr>
              <w:t>332,94</w:t>
            </w:r>
          </w:p>
        </w:tc>
        <w:tc>
          <w:tcPr>
            <w:tcW w:w="708" w:type="dxa"/>
            <w:gridSpan w:val="2"/>
            <w:shd w:val="clear" w:color="auto" w:fill="FFFFFF"/>
          </w:tcPr>
          <w:p w:rsidR="00AF2E52" w:rsidRPr="00E87163" w:rsidRDefault="00F505C5" w:rsidP="00BC37C9">
            <w:pPr>
              <w:spacing w:line="240" w:lineRule="auto"/>
              <w:rPr>
                <w:rFonts w:ascii="Times New Roman" w:hAnsi="Times New Roman"/>
                <w:color w:val="000000"/>
                <w:sz w:val="14"/>
                <w:szCs w:val="14"/>
              </w:rPr>
            </w:pPr>
            <w:r>
              <w:rPr>
                <w:rFonts w:ascii="Times New Roman" w:hAnsi="Times New Roman"/>
                <w:color w:val="000000"/>
                <w:sz w:val="14"/>
                <w:szCs w:val="14"/>
              </w:rPr>
              <w:t>332,94</w:t>
            </w:r>
          </w:p>
        </w:tc>
        <w:tc>
          <w:tcPr>
            <w:tcW w:w="1029" w:type="dxa"/>
            <w:gridSpan w:val="2"/>
            <w:shd w:val="clear" w:color="auto" w:fill="FFFFFF"/>
          </w:tcPr>
          <w:p w:rsidR="00AF2E52" w:rsidRPr="00B37C80" w:rsidRDefault="00F505C5" w:rsidP="00662E63">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3</w:t>
            </w:r>
            <w:r w:rsidR="005B100F">
              <w:rPr>
                <w:rFonts w:ascii="Times New Roman" w:hAnsi="Times New Roman"/>
                <w:color w:val="000000"/>
                <w:spacing w:val="-2"/>
                <w:sz w:val="21"/>
                <w:szCs w:val="21"/>
              </w:rPr>
              <w:t> </w:t>
            </w:r>
            <w:r>
              <w:rPr>
                <w:rFonts w:ascii="Times New Roman" w:hAnsi="Times New Roman"/>
                <w:color w:val="000000"/>
                <w:spacing w:val="-2"/>
                <w:sz w:val="21"/>
                <w:szCs w:val="21"/>
              </w:rPr>
              <w:t>0</w:t>
            </w:r>
            <w:r w:rsidR="00662E63">
              <w:rPr>
                <w:rFonts w:ascii="Times New Roman" w:hAnsi="Times New Roman"/>
                <w:color w:val="000000"/>
                <w:spacing w:val="-2"/>
                <w:sz w:val="21"/>
                <w:szCs w:val="21"/>
              </w:rPr>
              <w:t>93</w:t>
            </w:r>
            <w:r w:rsidR="005B100F">
              <w:rPr>
                <w:rFonts w:ascii="Times New Roman" w:hAnsi="Times New Roman"/>
                <w:color w:val="000000"/>
                <w:spacing w:val="-2"/>
                <w:sz w:val="21"/>
                <w:szCs w:val="21"/>
              </w:rPr>
              <w:t>,</w:t>
            </w:r>
            <w:r w:rsidR="00662E63">
              <w:rPr>
                <w:rFonts w:ascii="Times New Roman" w:hAnsi="Times New Roman"/>
                <w:color w:val="000000"/>
                <w:spacing w:val="-2"/>
                <w:sz w:val="21"/>
                <w:szCs w:val="21"/>
              </w:rPr>
              <w:t>98</w:t>
            </w:r>
          </w:p>
        </w:tc>
      </w:tr>
      <w:tr w:rsidR="00A3161B" w:rsidRPr="008B4FE6" w:rsidTr="00E87163">
        <w:trPr>
          <w:trHeight w:val="344"/>
        </w:trPr>
        <w:tc>
          <w:tcPr>
            <w:tcW w:w="2124" w:type="dxa"/>
            <w:gridSpan w:val="2"/>
            <w:shd w:val="clear" w:color="auto" w:fill="FFFFFF"/>
            <w:vAlign w:val="center"/>
          </w:tcPr>
          <w:p w:rsidR="00A3161B" w:rsidRPr="00C53F26" w:rsidRDefault="00A3161B" w:rsidP="00A3161B">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708" w:type="dxa"/>
            <w:gridSpan w:val="3"/>
            <w:shd w:val="clear" w:color="auto" w:fill="FFFFFF"/>
          </w:tcPr>
          <w:p w:rsidR="00A3161B" w:rsidRPr="00B37C80" w:rsidRDefault="00A3161B" w:rsidP="00077F2F">
            <w:pPr>
              <w:spacing w:line="240" w:lineRule="auto"/>
              <w:rPr>
                <w:rFonts w:ascii="Times New Roman" w:hAnsi="Times New Roman"/>
                <w:color w:val="000000"/>
                <w:sz w:val="21"/>
                <w:szCs w:val="21"/>
              </w:rPr>
            </w:pPr>
            <w:r>
              <w:rPr>
                <w:rFonts w:ascii="Times New Roman" w:hAnsi="Times New Roman"/>
                <w:color w:val="000000"/>
                <w:sz w:val="21"/>
                <w:szCs w:val="21"/>
              </w:rPr>
              <w:t>3,11</w:t>
            </w:r>
          </w:p>
        </w:tc>
        <w:tc>
          <w:tcPr>
            <w:tcW w:w="709" w:type="dxa"/>
            <w:shd w:val="clear" w:color="auto" w:fill="FFFFFF"/>
          </w:tcPr>
          <w:p w:rsidR="00A3161B" w:rsidRPr="00B37C80" w:rsidRDefault="00A3161B" w:rsidP="00A3161B">
            <w:pPr>
              <w:spacing w:line="240" w:lineRule="auto"/>
              <w:rPr>
                <w:rFonts w:ascii="Times New Roman" w:hAnsi="Times New Roman"/>
                <w:color w:val="000000"/>
                <w:sz w:val="21"/>
                <w:szCs w:val="21"/>
              </w:rPr>
            </w:pPr>
            <w:r>
              <w:rPr>
                <w:rFonts w:ascii="Times New Roman" w:hAnsi="Times New Roman"/>
                <w:color w:val="000000"/>
                <w:sz w:val="21"/>
                <w:szCs w:val="21"/>
              </w:rPr>
              <w:t>5,18</w:t>
            </w:r>
          </w:p>
        </w:tc>
        <w:tc>
          <w:tcPr>
            <w:tcW w:w="712" w:type="dxa"/>
            <w:gridSpan w:val="2"/>
            <w:shd w:val="clear" w:color="auto" w:fill="FFFFFF"/>
          </w:tcPr>
          <w:p w:rsidR="00A3161B" w:rsidRPr="00B37C80" w:rsidRDefault="00A3161B" w:rsidP="00A3161B">
            <w:pPr>
              <w:spacing w:line="240" w:lineRule="auto"/>
              <w:rPr>
                <w:rFonts w:ascii="Times New Roman" w:hAnsi="Times New Roman"/>
                <w:color w:val="000000"/>
                <w:sz w:val="21"/>
                <w:szCs w:val="21"/>
              </w:rPr>
            </w:pPr>
            <w:r>
              <w:rPr>
                <w:rFonts w:ascii="Times New Roman" w:hAnsi="Times New Roman"/>
                <w:color w:val="000000"/>
                <w:sz w:val="21"/>
                <w:szCs w:val="21"/>
              </w:rPr>
              <w:t>7,25</w:t>
            </w:r>
          </w:p>
        </w:tc>
        <w:tc>
          <w:tcPr>
            <w:tcW w:w="709" w:type="dxa"/>
            <w:gridSpan w:val="3"/>
            <w:shd w:val="clear" w:color="auto" w:fill="FFFFFF"/>
          </w:tcPr>
          <w:p w:rsidR="00A3161B" w:rsidRPr="00B37C80" w:rsidRDefault="00A3161B" w:rsidP="00A3161B">
            <w:pPr>
              <w:spacing w:line="240" w:lineRule="auto"/>
              <w:rPr>
                <w:rFonts w:ascii="Times New Roman" w:hAnsi="Times New Roman"/>
                <w:color w:val="000000"/>
                <w:sz w:val="21"/>
                <w:szCs w:val="21"/>
              </w:rPr>
            </w:pPr>
            <w:r>
              <w:rPr>
                <w:rFonts w:ascii="Times New Roman" w:hAnsi="Times New Roman"/>
                <w:color w:val="000000"/>
                <w:sz w:val="21"/>
                <w:szCs w:val="21"/>
              </w:rPr>
              <w:t>10,36</w:t>
            </w:r>
          </w:p>
        </w:tc>
        <w:tc>
          <w:tcPr>
            <w:tcW w:w="709" w:type="dxa"/>
            <w:gridSpan w:val="2"/>
            <w:shd w:val="clear" w:color="auto" w:fill="FFFFFF"/>
          </w:tcPr>
          <w:p w:rsidR="00A3161B" w:rsidRPr="00B37C80" w:rsidRDefault="00A3161B" w:rsidP="00A3161B">
            <w:pPr>
              <w:spacing w:line="240" w:lineRule="auto"/>
              <w:rPr>
                <w:rFonts w:ascii="Times New Roman" w:hAnsi="Times New Roman"/>
                <w:color w:val="000000"/>
                <w:sz w:val="21"/>
                <w:szCs w:val="21"/>
              </w:rPr>
            </w:pPr>
            <w:r w:rsidRPr="00E81FC8">
              <w:rPr>
                <w:rFonts w:ascii="Times New Roman" w:hAnsi="Times New Roman"/>
                <w:color w:val="000000"/>
                <w:sz w:val="21"/>
                <w:szCs w:val="21"/>
              </w:rPr>
              <w:t>10,36</w:t>
            </w:r>
          </w:p>
        </w:tc>
        <w:tc>
          <w:tcPr>
            <w:tcW w:w="709" w:type="dxa"/>
            <w:gridSpan w:val="2"/>
            <w:shd w:val="clear" w:color="auto" w:fill="FFFFFF"/>
          </w:tcPr>
          <w:p w:rsidR="00A3161B" w:rsidRPr="00B37C80" w:rsidRDefault="00A3161B" w:rsidP="00A3161B">
            <w:pPr>
              <w:spacing w:line="240" w:lineRule="auto"/>
              <w:rPr>
                <w:rFonts w:ascii="Times New Roman" w:hAnsi="Times New Roman"/>
                <w:color w:val="000000"/>
                <w:sz w:val="21"/>
                <w:szCs w:val="21"/>
              </w:rPr>
            </w:pPr>
            <w:r w:rsidRPr="00E81FC8">
              <w:rPr>
                <w:rFonts w:ascii="Times New Roman" w:hAnsi="Times New Roman"/>
                <w:color w:val="000000"/>
                <w:sz w:val="21"/>
                <w:szCs w:val="21"/>
              </w:rPr>
              <w:t>10,36</w:t>
            </w:r>
          </w:p>
        </w:tc>
        <w:tc>
          <w:tcPr>
            <w:tcW w:w="704" w:type="dxa"/>
            <w:gridSpan w:val="3"/>
            <w:shd w:val="clear" w:color="auto" w:fill="FFFFFF"/>
          </w:tcPr>
          <w:p w:rsidR="00A3161B" w:rsidRPr="00B37C80" w:rsidRDefault="00A3161B" w:rsidP="00A3161B">
            <w:pPr>
              <w:spacing w:line="240" w:lineRule="auto"/>
              <w:rPr>
                <w:rFonts w:ascii="Times New Roman" w:hAnsi="Times New Roman"/>
                <w:color w:val="000000"/>
                <w:sz w:val="21"/>
                <w:szCs w:val="21"/>
              </w:rPr>
            </w:pPr>
            <w:r w:rsidRPr="00D02DBD">
              <w:rPr>
                <w:rFonts w:ascii="Times New Roman" w:hAnsi="Times New Roman"/>
                <w:color w:val="000000"/>
                <w:sz w:val="21"/>
                <w:szCs w:val="21"/>
              </w:rPr>
              <w:t>10,36</w:t>
            </w:r>
          </w:p>
        </w:tc>
        <w:tc>
          <w:tcPr>
            <w:tcW w:w="708" w:type="dxa"/>
            <w:gridSpan w:val="3"/>
            <w:shd w:val="clear" w:color="auto" w:fill="FFFFFF"/>
          </w:tcPr>
          <w:p w:rsidR="00A3161B" w:rsidRPr="00B37C80" w:rsidRDefault="00A3161B" w:rsidP="00A3161B">
            <w:pPr>
              <w:spacing w:line="240" w:lineRule="auto"/>
              <w:rPr>
                <w:rFonts w:ascii="Times New Roman" w:hAnsi="Times New Roman"/>
                <w:color w:val="000000"/>
                <w:sz w:val="21"/>
                <w:szCs w:val="21"/>
              </w:rPr>
            </w:pPr>
            <w:r w:rsidRPr="00D02DBD">
              <w:rPr>
                <w:rFonts w:ascii="Times New Roman" w:hAnsi="Times New Roman"/>
                <w:color w:val="000000"/>
                <w:sz w:val="21"/>
                <w:szCs w:val="21"/>
              </w:rPr>
              <w:t>10,36</w:t>
            </w:r>
          </w:p>
        </w:tc>
        <w:tc>
          <w:tcPr>
            <w:tcW w:w="709" w:type="dxa"/>
            <w:gridSpan w:val="2"/>
            <w:shd w:val="clear" w:color="auto" w:fill="FFFFFF"/>
          </w:tcPr>
          <w:p w:rsidR="00A3161B" w:rsidRPr="00B37C80" w:rsidRDefault="00A3161B" w:rsidP="00A3161B">
            <w:pPr>
              <w:spacing w:line="240" w:lineRule="auto"/>
              <w:rPr>
                <w:rFonts w:ascii="Times New Roman" w:hAnsi="Times New Roman"/>
                <w:color w:val="000000"/>
                <w:sz w:val="21"/>
                <w:szCs w:val="21"/>
              </w:rPr>
            </w:pPr>
            <w:r w:rsidRPr="00D02DBD">
              <w:rPr>
                <w:rFonts w:ascii="Times New Roman" w:hAnsi="Times New Roman"/>
                <w:color w:val="000000"/>
                <w:sz w:val="21"/>
                <w:szCs w:val="21"/>
              </w:rPr>
              <w:t>10,36</w:t>
            </w:r>
          </w:p>
        </w:tc>
        <w:tc>
          <w:tcPr>
            <w:tcW w:w="709" w:type="dxa"/>
            <w:gridSpan w:val="2"/>
            <w:shd w:val="clear" w:color="auto" w:fill="FFFFFF"/>
          </w:tcPr>
          <w:p w:rsidR="00A3161B" w:rsidRPr="00B37C80" w:rsidRDefault="00A3161B" w:rsidP="00A3161B">
            <w:pPr>
              <w:spacing w:line="240" w:lineRule="auto"/>
              <w:rPr>
                <w:rFonts w:ascii="Times New Roman" w:hAnsi="Times New Roman"/>
                <w:color w:val="000000"/>
                <w:sz w:val="21"/>
                <w:szCs w:val="21"/>
              </w:rPr>
            </w:pPr>
            <w:r w:rsidRPr="00D02DBD">
              <w:rPr>
                <w:rFonts w:ascii="Times New Roman" w:hAnsi="Times New Roman"/>
                <w:color w:val="000000"/>
                <w:sz w:val="21"/>
                <w:szCs w:val="21"/>
              </w:rPr>
              <w:t>10,36</w:t>
            </w:r>
          </w:p>
        </w:tc>
        <w:tc>
          <w:tcPr>
            <w:tcW w:w="708" w:type="dxa"/>
            <w:gridSpan w:val="2"/>
            <w:shd w:val="clear" w:color="auto" w:fill="FFFFFF"/>
          </w:tcPr>
          <w:p w:rsidR="00A3161B" w:rsidRPr="00B37C80" w:rsidRDefault="00A3161B" w:rsidP="00A3161B">
            <w:pPr>
              <w:spacing w:line="240" w:lineRule="auto"/>
              <w:rPr>
                <w:rFonts w:ascii="Times New Roman" w:hAnsi="Times New Roman"/>
                <w:color w:val="000000"/>
                <w:sz w:val="21"/>
                <w:szCs w:val="21"/>
              </w:rPr>
            </w:pPr>
            <w:r w:rsidRPr="00D02DBD">
              <w:rPr>
                <w:rFonts w:ascii="Times New Roman" w:hAnsi="Times New Roman"/>
                <w:color w:val="000000"/>
                <w:sz w:val="21"/>
                <w:szCs w:val="21"/>
              </w:rPr>
              <w:t>10,36</w:t>
            </w:r>
          </w:p>
        </w:tc>
        <w:tc>
          <w:tcPr>
            <w:tcW w:w="1029" w:type="dxa"/>
            <w:gridSpan w:val="2"/>
            <w:shd w:val="clear" w:color="auto" w:fill="FFFFFF"/>
          </w:tcPr>
          <w:p w:rsidR="00A3161B" w:rsidRDefault="00A3161B" w:rsidP="00A3161B">
            <w:pPr>
              <w:spacing w:line="240" w:lineRule="auto"/>
              <w:rPr>
                <w:rFonts w:ascii="Times New Roman" w:hAnsi="Times New Roman"/>
                <w:color w:val="000000"/>
                <w:sz w:val="21"/>
                <w:szCs w:val="21"/>
              </w:rPr>
            </w:pPr>
            <w:r>
              <w:rPr>
                <w:rFonts w:ascii="Times New Roman" w:hAnsi="Times New Roman"/>
                <w:color w:val="000000"/>
                <w:sz w:val="21"/>
                <w:szCs w:val="21"/>
              </w:rPr>
              <w:t xml:space="preserve">     98,42</w:t>
            </w:r>
          </w:p>
          <w:p w:rsidR="00A3161B" w:rsidRPr="00B37C80" w:rsidRDefault="00A3161B" w:rsidP="00A3161B">
            <w:pPr>
              <w:spacing w:line="240" w:lineRule="auto"/>
              <w:rPr>
                <w:rFonts w:ascii="Times New Roman" w:hAnsi="Times New Roman"/>
                <w:color w:val="000000"/>
                <w:sz w:val="21"/>
                <w:szCs w:val="21"/>
              </w:rPr>
            </w:pPr>
          </w:p>
        </w:tc>
      </w:tr>
      <w:tr w:rsidR="00A3161B" w:rsidRPr="008B4FE6" w:rsidTr="00E87163">
        <w:trPr>
          <w:trHeight w:val="344"/>
        </w:trPr>
        <w:tc>
          <w:tcPr>
            <w:tcW w:w="2124" w:type="dxa"/>
            <w:gridSpan w:val="2"/>
            <w:shd w:val="clear" w:color="auto" w:fill="FFFFFF"/>
            <w:vAlign w:val="center"/>
          </w:tcPr>
          <w:p w:rsidR="00A3161B" w:rsidRPr="00C53F26" w:rsidRDefault="00A3161B" w:rsidP="00A3161B">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708" w:type="dxa"/>
            <w:gridSpan w:val="3"/>
            <w:shd w:val="clear" w:color="auto" w:fill="FFFFFF"/>
          </w:tcPr>
          <w:p w:rsidR="00A3161B" w:rsidRPr="00B37C80" w:rsidRDefault="00A3161B" w:rsidP="00077F2F">
            <w:pPr>
              <w:spacing w:line="240" w:lineRule="auto"/>
              <w:rPr>
                <w:rFonts w:ascii="Times New Roman" w:hAnsi="Times New Roman"/>
                <w:color w:val="000000"/>
                <w:sz w:val="21"/>
                <w:szCs w:val="21"/>
              </w:rPr>
            </w:pPr>
            <w:r>
              <w:rPr>
                <w:rFonts w:ascii="Times New Roman" w:hAnsi="Times New Roman"/>
                <w:color w:val="000000"/>
                <w:sz w:val="21"/>
                <w:szCs w:val="21"/>
              </w:rPr>
              <w:t>15,08</w:t>
            </w:r>
          </w:p>
        </w:tc>
        <w:tc>
          <w:tcPr>
            <w:tcW w:w="709" w:type="dxa"/>
            <w:shd w:val="clear" w:color="auto" w:fill="FFFFFF"/>
          </w:tcPr>
          <w:p w:rsidR="00A3161B" w:rsidRPr="00B37C80" w:rsidRDefault="00A3161B" w:rsidP="00077F2F">
            <w:pPr>
              <w:spacing w:line="240" w:lineRule="auto"/>
              <w:rPr>
                <w:rFonts w:ascii="Times New Roman" w:hAnsi="Times New Roman"/>
                <w:color w:val="000000"/>
                <w:sz w:val="21"/>
                <w:szCs w:val="21"/>
              </w:rPr>
            </w:pPr>
            <w:r>
              <w:rPr>
                <w:rFonts w:ascii="Times New Roman" w:hAnsi="Times New Roman"/>
                <w:color w:val="000000"/>
                <w:sz w:val="21"/>
                <w:szCs w:val="21"/>
              </w:rPr>
              <w:t>37,70</w:t>
            </w:r>
          </w:p>
        </w:tc>
        <w:tc>
          <w:tcPr>
            <w:tcW w:w="712" w:type="dxa"/>
            <w:gridSpan w:val="2"/>
            <w:shd w:val="clear" w:color="auto" w:fill="FFFFFF"/>
          </w:tcPr>
          <w:p w:rsidR="00A3161B" w:rsidRPr="00B37C80" w:rsidRDefault="00A3161B" w:rsidP="00077F2F">
            <w:pPr>
              <w:spacing w:line="240" w:lineRule="auto"/>
              <w:rPr>
                <w:rFonts w:ascii="Times New Roman" w:hAnsi="Times New Roman"/>
                <w:color w:val="000000"/>
                <w:sz w:val="21"/>
                <w:szCs w:val="21"/>
              </w:rPr>
            </w:pPr>
            <w:r>
              <w:rPr>
                <w:rFonts w:ascii="Times New Roman" w:hAnsi="Times New Roman"/>
                <w:color w:val="000000"/>
                <w:sz w:val="21"/>
                <w:szCs w:val="21"/>
              </w:rPr>
              <w:t>52,78</w:t>
            </w:r>
          </w:p>
        </w:tc>
        <w:tc>
          <w:tcPr>
            <w:tcW w:w="709" w:type="dxa"/>
            <w:gridSpan w:val="3"/>
            <w:shd w:val="clear" w:color="auto" w:fill="FFFFFF"/>
          </w:tcPr>
          <w:p w:rsidR="00A3161B" w:rsidRDefault="00A3161B" w:rsidP="00A3161B">
            <w:pPr>
              <w:spacing w:line="240" w:lineRule="auto"/>
              <w:rPr>
                <w:rFonts w:ascii="Times New Roman" w:hAnsi="Times New Roman"/>
                <w:color w:val="000000"/>
                <w:sz w:val="21"/>
                <w:szCs w:val="21"/>
              </w:rPr>
            </w:pPr>
            <w:r>
              <w:rPr>
                <w:rFonts w:ascii="Times New Roman" w:hAnsi="Times New Roman"/>
                <w:color w:val="000000"/>
                <w:sz w:val="21"/>
                <w:szCs w:val="21"/>
              </w:rPr>
              <w:t>75,40</w:t>
            </w:r>
          </w:p>
          <w:p w:rsidR="00A3161B" w:rsidRPr="00B37C80" w:rsidRDefault="00A3161B" w:rsidP="00A3161B">
            <w:pPr>
              <w:spacing w:line="240" w:lineRule="auto"/>
              <w:rPr>
                <w:rFonts w:ascii="Times New Roman" w:hAnsi="Times New Roman"/>
                <w:color w:val="000000"/>
                <w:sz w:val="21"/>
                <w:szCs w:val="21"/>
              </w:rPr>
            </w:pPr>
          </w:p>
        </w:tc>
        <w:tc>
          <w:tcPr>
            <w:tcW w:w="709" w:type="dxa"/>
            <w:gridSpan w:val="2"/>
            <w:shd w:val="clear" w:color="auto" w:fill="FFFFFF"/>
          </w:tcPr>
          <w:p w:rsidR="00A3161B" w:rsidRPr="00B37C80" w:rsidRDefault="00A3161B" w:rsidP="00A3161B">
            <w:pPr>
              <w:spacing w:line="240" w:lineRule="auto"/>
              <w:rPr>
                <w:rFonts w:ascii="Times New Roman" w:hAnsi="Times New Roman"/>
                <w:color w:val="000000"/>
                <w:sz w:val="21"/>
                <w:szCs w:val="21"/>
              </w:rPr>
            </w:pPr>
            <w:r w:rsidRPr="004847FB">
              <w:rPr>
                <w:rFonts w:ascii="Times New Roman" w:hAnsi="Times New Roman"/>
                <w:color w:val="000000"/>
                <w:sz w:val="21"/>
                <w:szCs w:val="21"/>
              </w:rPr>
              <w:t>75,40</w:t>
            </w:r>
          </w:p>
        </w:tc>
        <w:tc>
          <w:tcPr>
            <w:tcW w:w="709" w:type="dxa"/>
            <w:gridSpan w:val="2"/>
            <w:shd w:val="clear" w:color="auto" w:fill="FFFFFF"/>
          </w:tcPr>
          <w:p w:rsidR="00A3161B" w:rsidRPr="00B37C80" w:rsidRDefault="00A3161B" w:rsidP="00A3161B">
            <w:pPr>
              <w:spacing w:line="240" w:lineRule="auto"/>
              <w:rPr>
                <w:rFonts w:ascii="Times New Roman" w:hAnsi="Times New Roman"/>
                <w:color w:val="000000"/>
                <w:sz w:val="21"/>
                <w:szCs w:val="21"/>
              </w:rPr>
            </w:pPr>
            <w:r w:rsidRPr="004847FB">
              <w:rPr>
                <w:rFonts w:ascii="Times New Roman" w:hAnsi="Times New Roman"/>
                <w:color w:val="000000"/>
                <w:sz w:val="21"/>
                <w:szCs w:val="21"/>
              </w:rPr>
              <w:t>75,40</w:t>
            </w:r>
          </w:p>
        </w:tc>
        <w:tc>
          <w:tcPr>
            <w:tcW w:w="704" w:type="dxa"/>
            <w:gridSpan w:val="3"/>
            <w:shd w:val="clear" w:color="auto" w:fill="FFFFFF"/>
          </w:tcPr>
          <w:p w:rsidR="00A3161B" w:rsidRPr="00B37C80" w:rsidRDefault="00A3161B" w:rsidP="00A3161B">
            <w:pPr>
              <w:spacing w:line="240" w:lineRule="auto"/>
              <w:rPr>
                <w:rFonts w:ascii="Times New Roman" w:hAnsi="Times New Roman"/>
                <w:color w:val="000000"/>
                <w:sz w:val="21"/>
                <w:szCs w:val="21"/>
              </w:rPr>
            </w:pPr>
            <w:r w:rsidRPr="004847FB">
              <w:rPr>
                <w:rFonts w:ascii="Times New Roman" w:hAnsi="Times New Roman"/>
                <w:color w:val="000000"/>
                <w:sz w:val="21"/>
                <w:szCs w:val="21"/>
              </w:rPr>
              <w:t>75,40</w:t>
            </w:r>
          </w:p>
        </w:tc>
        <w:tc>
          <w:tcPr>
            <w:tcW w:w="708" w:type="dxa"/>
            <w:gridSpan w:val="3"/>
            <w:shd w:val="clear" w:color="auto" w:fill="FFFFFF"/>
          </w:tcPr>
          <w:p w:rsidR="00A3161B" w:rsidRPr="00B37C80" w:rsidRDefault="00A3161B" w:rsidP="00A3161B">
            <w:pPr>
              <w:spacing w:line="240" w:lineRule="auto"/>
              <w:rPr>
                <w:rFonts w:ascii="Times New Roman" w:hAnsi="Times New Roman"/>
                <w:color w:val="000000"/>
                <w:sz w:val="21"/>
                <w:szCs w:val="21"/>
              </w:rPr>
            </w:pPr>
            <w:r w:rsidRPr="004847FB">
              <w:rPr>
                <w:rFonts w:ascii="Times New Roman" w:hAnsi="Times New Roman"/>
                <w:color w:val="000000"/>
                <w:sz w:val="21"/>
                <w:szCs w:val="21"/>
              </w:rPr>
              <w:t>75,40</w:t>
            </w:r>
          </w:p>
        </w:tc>
        <w:tc>
          <w:tcPr>
            <w:tcW w:w="709" w:type="dxa"/>
            <w:gridSpan w:val="2"/>
            <w:shd w:val="clear" w:color="auto" w:fill="FFFFFF"/>
          </w:tcPr>
          <w:p w:rsidR="00A3161B" w:rsidRPr="00B37C80" w:rsidRDefault="00A3161B" w:rsidP="00A3161B">
            <w:pPr>
              <w:spacing w:line="240" w:lineRule="auto"/>
              <w:rPr>
                <w:rFonts w:ascii="Times New Roman" w:hAnsi="Times New Roman"/>
                <w:color w:val="000000"/>
                <w:sz w:val="21"/>
                <w:szCs w:val="21"/>
              </w:rPr>
            </w:pPr>
            <w:r w:rsidRPr="004847FB">
              <w:rPr>
                <w:rFonts w:ascii="Times New Roman" w:hAnsi="Times New Roman"/>
                <w:color w:val="000000"/>
                <w:sz w:val="21"/>
                <w:szCs w:val="21"/>
              </w:rPr>
              <w:t>75,40</w:t>
            </w:r>
          </w:p>
        </w:tc>
        <w:tc>
          <w:tcPr>
            <w:tcW w:w="709" w:type="dxa"/>
            <w:gridSpan w:val="2"/>
            <w:shd w:val="clear" w:color="auto" w:fill="FFFFFF"/>
          </w:tcPr>
          <w:p w:rsidR="00A3161B" w:rsidRPr="00B37C80" w:rsidRDefault="00A3161B" w:rsidP="00A3161B">
            <w:pPr>
              <w:spacing w:line="240" w:lineRule="auto"/>
              <w:rPr>
                <w:rFonts w:ascii="Times New Roman" w:hAnsi="Times New Roman"/>
                <w:color w:val="000000"/>
                <w:sz w:val="21"/>
                <w:szCs w:val="21"/>
              </w:rPr>
            </w:pPr>
            <w:r w:rsidRPr="004847FB">
              <w:rPr>
                <w:rFonts w:ascii="Times New Roman" w:hAnsi="Times New Roman"/>
                <w:color w:val="000000"/>
                <w:sz w:val="21"/>
                <w:szCs w:val="21"/>
              </w:rPr>
              <w:t>75,40</w:t>
            </w:r>
          </w:p>
        </w:tc>
        <w:tc>
          <w:tcPr>
            <w:tcW w:w="708" w:type="dxa"/>
            <w:gridSpan w:val="2"/>
            <w:shd w:val="clear" w:color="auto" w:fill="FFFFFF"/>
          </w:tcPr>
          <w:p w:rsidR="00A3161B" w:rsidRPr="00B37C80" w:rsidRDefault="00A3161B" w:rsidP="00A3161B">
            <w:pPr>
              <w:spacing w:line="240" w:lineRule="auto"/>
              <w:rPr>
                <w:rFonts w:ascii="Times New Roman" w:hAnsi="Times New Roman"/>
                <w:color w:val="000000"/>
                <w:sz w:val="21"/>
                <w:szCs w:val="21"/>
              </w:rPr>
            </w:pPr>
            <w:r w:rsidRPr="004847FB">
              <w:rPr>
                <w:rFonts w:ascii="Times New Roman" w:hAnsi="Times New Roman"/>
                <w:color w:val="000000"/>
                <w:sz w:val="21"/>
                <w:szCs w:val="21"/>
              </w:rPr>
              <w:t>75,40</w:t>
            </w:r>
          </w:p>
        </w:tc>
        <w:tc>
          <w:tcPr>
            <w:tcW w:w="1029" w:type="dxa"/>
            <w:gridSpan w:val="2"/>
            <w:shd w:val="clear" w:color="auto" w:fill="FFFFFF"/>
          </w:tcPr>
          <w:p w:rsidR="00A3161B" w:rsidRPr="00B37C80" w:rsidRDefault="00A3161B" w:rsidP="00077F2F">
            <w:pPr>
              <w:spacing w:line="240" w:lineRule="auto"/>
              <w:rPr>
                <w:rFonts w:ascii="Times New Roman" w:hAnsi="Times New Roman"/>
                <w:color w:val="000000"/>
                <w:sz w:val="21"/>
                <w:szCs w:val="21"/>
              </w:rPr>
            </w:pPr>
            <w:r>
              <w:rPr>
                <w:rFonts w:ascii="Times New Roman" w:hAnsi="Times New Roman"/>
                <w:color w:val="000000"/>
                <w:sz w:val="21"/>
                <w:szCs w:val="21"/>
              </w:rPr>
              <w:t xml:space="preserve">   708,76</w:t>
            </w:r>
          </w:p>
        </w:tc>
      </w:tr>
      <w:tr w:rsidR="00E87163" w:rsidRPr="008B4FE6" w:rsidTr="00E87163">
        <w:trPr>
          <w:trHeight w:val="330"/>
        </w:trPr>
        <w:tc>
          <w:tcPr>
            <w:tcW w:w="2124" w:type="dxa"/>
            <w:gridSpan w:val="2"/>
            <w:shd w:val="clear" w:color="auto" w:fill="FFFFFF"/>
            <w:vAlign w:val="center"/>
          </w:tcPr>
          <w:p w:rsidR="00AF2E52" w:rsidRPr="00C53F26" w:rsidRDefault="00AF2E52"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708" w:type="dxa"/>
            <w:gridSpan w:val="3"/>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12"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3"/>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4" w:type="dxa"/>
            <w:gridSpan w:val="3"/>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8" w:type="dxa"/>
            <w:gridSpan w:val="3"/>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8"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102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r>
      <w:tr w:rsidR="00E87163" w:rsidRPr="008B4FE6" w:rsidTr="00E87163">
        <w:trPr>
          <w:trHeight w:val="330"/>
        </w:trPr>
        <w:tc>
          <w:tcPr>
            <w:tcW w:w="2124" w:type="dxa"/>
            <w:gridSpan w:val="2"/>
            <w:shd w:val="clear" w:color="auto" w:fill="FFFFFF"/>
            <w:vAlign w:val="center"/>
          </w:tcPr>
          <w:p w:rsidR="00AF2E52" w:rsidRPr="00C53F26" w:rsidRDefault="00AF2E52"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708" w:type="dxa"/>
            <w:gridSpan w:val="3"/>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12"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3"/>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4" w:type="dxa"/>
            <w:gridSpan w:val="3"/>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8" w:type="dxa"/>
            <w:gridSpan w:val="3"/>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8"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102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r>
      <w:tr w:rsidR="00E87163" w:rsidRPr="008B4FE6" w:rsidTr="00E87163">
        <w:trPr>
          <w:trHeight w:val="351"/>
        </w:trPr>
        <w:tc>
          <w:tcPr>
            <w:tcW w:w="2124" w:type="dxa"/>
            <w:gridSpan w:val="2"/>
            <w:shd w:val="clear" w:color="auto" w:fill="FFFFFF"/>
            <w:vAlign w:val="center"/>
          </w:tcPr>
          <w:p w:rsidR="00AF2E52" w:rsidRPr="00C53F26" w:rsidRDefault="00AF2E52"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708" w:type="dxa"/>
            <w:gridSpan w:val="3"/>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12"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3"/>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4" w:type="dxa"/>
            <w:gridSpan w:val="3"/>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8" w:type="dxa"/>
            <w:gridSpan w:val="3"/>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8"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102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r>
      <w:tr w:rsidR="00E87163" w:rsidRPr="008B4FE6" w:rsidTr="00E87163">
        <w:trPr>
          <w:trHeight w:val="351"/>
        </w:trPr>
        <w:tc>
          <w:tcPr>
            <w:tcW w:w="2124" w:type="dxa"/>
            <w:gridSpan w:val="2"/>
            <w:shd w:val="clear" w:color="auto" w:fill="FFFFFF"/>
            <w:vAlign w:val="center"/>
          </w:tcPr>
          <w:p w:rsidR="00AF2E52" w:rsidRPr="00C53F26" w:rsidRDefault="00AF2E52"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708" w:type="dxa"/>
            <w:gridSpan w:val="3"/>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12"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3"/>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4" w:type="dxa"/>
            <w:gridSpan w:val="3"/>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8" w:type="dxa"/>
            <w:gridSpan w:val="3"/>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8"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102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r>
      <w:tr w:rsidR="00E87163" w:rsidRPr="008B4FE6" w:rsidTr="00E87163">
        <w:trPr>
          <w:trHeight w:val="360"/>
        </w:trPr>
        <w:tc>
          <w:tcPr>
            <w:tcW w:w="2124" w:type="dxa"/>
            <w:gridSpan w:val="2"/>
            <w:shd w:val="clear" w:color="auto" w:fill="FFFFFF"/>
            <w:vAlign w:val="center"/>
          </w:tcPr>
          <w:p w:rsidR="00AF2E52" w:rsidRPr="00C53F26" w:rsidRDefault="00AF2E52"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708" w:type="dxa"/>
            <w:gridSpan w:val="3"/>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12"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3"/>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4" w:type="dxa"/>
            <w:gridSpan w:val="3"/>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8" w:type="dxa"/>
            <w:gridSpan w:val="3"/>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8"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102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r>
      <w:tr w:rsidR="00E87163" w:rsidRPr="008B4FE6" w:rsidTr="00E87163">
        <w:trPr>
          <w:trHeight w:val="360"/>
        </w:trPr>
        <w:tc>
          <w:tcPr>
            <w:tcW w:w="2124" w:type="dxa"/>
            <w:gridSpan w:val="2"/>
            <w:shd w:val="clear" w:color="auto" w:fill="FFFFFF"/>
            <w:vAlign w:val="center"/>
          </w:tcPr>
          <w:p w:rsidR="00AF2E52" w:rsidRPr="00C53F26" w:rsidRDefault="00AF2E52"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708" w:type="dxa"/>
            <w:gridSpan w:val="3"/>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12"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3"/>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4" w:type="dxa"/>
            <w:gridSpan w:val="3"/>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8" w:type="dxa"/>
            <w:gridSpan w:val="3"/>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8"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102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r>
      <w:tr w:rsidR="00E87163" w:rsidRPr="008B4FE6" w:rsidTr="00E87163">
        <w:trPr>
          <w:trHeight w:val="357"/>
        </w:trPr>
        <w:tc>
          <w:tcPr>
            <w:tcW w:w="2124" w:type="dxa"/>
            <w:gridSpan w:val="2"/>
            <w:shd w:val="clear" w:color="auto" w:fill="FFFFFF"/>
            <w:vAlign w:val="center"/>
          </w:tcPr>
          <w:p w:rsidR="00AF2E52" w:rsidRPr="00C53F26" w:rsidRDefault="00AF2E52"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708" w:type="dxa"/>
            <w:gridSpan w:val="3"/>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12"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3"/>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4" w:type="dxa"/>
            <w:gridSpan w:val="3"/>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8" w:type="dxa"/>
            <w:gridSpan w:val="3"/>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8"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102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r>
      <w:tr w:rsidR="00E87163" w:rsidRPr="008B4FE6" w:rsidTr="00E87163">
        <w:trPr>
          <w:trHeight w:val="357"/>
        </w:trPr>
        <w:tc>
          <w:tcPr>
            <w:tcW w:w="2124" w:type="dxa"/>
            <w:gridSpan w:val="2"/>
            <w:shd w:val="clear" w:color="auto" w:fill="FFFFFF"/>
            <w:vAlign w:val="center"/>
          </w:tcPr>
          <w:p w:rsidR="00AF2E52" w:rsidRPr="00C53F26" w:rsidRDefault="00AF2E52"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708" w:type="dxa"/>
            <w:gridSpan w:val="3"/>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12"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3"/>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4" w:type="dxa"/>
            <w:gridSpan w:val="3"/>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8" w:type="dxa"/>
            <w:gridSpan w:val="3"/>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708"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c>
          <w:tcPr>
            <w:tcW w:w="1029" w:type="dxa"/>
            <w:gridSpan w:val="2"/>
            <w:shd w:val="clear" w:color="auto" w:fill="FFFFFF"/>
          </w:tcPr>
          <w:p w:rsidR="00AF2E52" w:rsidRPr="00B37C80" w:rsidRDefault="00AF2E52" w:rsidP="009107FD">
            <w:pPr>
              <w:spacing w:line="240" w:lineRule="auto"/>
              <w:rPr>
                <w:rFonts w:ascii="Times New Roman" w:hAnsi="Times New Roman"/>
                <w:color w:val="000000"/>
                <w:sz w:val="21"/>
                <w:szCs w:val="21"/>
              </w:rPr>
            </w:pPr>
          </w:p>
        </w:tc>
      </w:tr>
      <w:tr w:rsidR="00AF2E52" w:rsidRPr="008B4FE6" w:rsidTr="0008797A">
        <w:trPr>
          <w:gridAfter w:val="1"/>
          <w:wAfter w:w="10" w:type="dxa"/>
          <w:trHeight w:val="884"/>
        </w:trPr>
        <w:tc>
          <w:tcPr>
            <w:tcW w:w="2233" w:type="dxa"/>
            <w:gridSpan w:val="3"/>
            <w:shd w:val="clear" w:color="auto" w:fill="FFFFFF"/>
            <w:vAlign w:val="center"/>
          </w:tcPr>
          <w:p w:rsidR="00AF2E52" w:rsidRPr="00C53F26" w:rsidRDefault="00AF2E52" w:rsidP="005741EE">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704" w:type="dxa"/>
            <w:gridSpan w:val="25"/>
            <w:shd w:val="clear" w:color="auto" w:fill="FFFFFF"/>
            <w:vAlign w:val="center"/>
          </w:tcPr>
          <w:p w:rsidR="00AF2E52" w:rsidRPr="00B37C80" w:rsidRDefault="00AF2E52" w:rsidP="00B37C80">
            <w:pPr>
              <w:spacing w:line="240" w:lineRule="auto"/>
              <w:jc w:val="both"/>
              <w:rPr>
                <w:rFonts w:ascii="Times New Roman" w:hAnsi="Times New Roman"/>
                <w:color w:val="000000"/>
                <w:sz w:val="21"/>
                <w:szCs w:val="21"/>
              </w:rPr>
            </w:pPr>
          </w:p>
        </w:tc>
      </w:tr>
      <w:tr w:rsidR="00AF2E52" w:rsidRPr="008B4FE6" w:rsidTr="00E87163">
        <w:trPr>
          <w:gridAfter w:val="1"/>
          <w:wAfter w:w="10" w:type="dxa"/>
          <w:trHeight w:val="1251"/>
        </w:trPr>
        <w:tc>
          <w:tcPr>
            <w:tcW w:w="2233" w:type="dxa"/>
            <w:gridSpan w:val="3"/>
            <w:shd w:val="clear" w:color="auto" w:fill="FFFFFF"/>
          </w:tcPr>
          <w:p w:rsidR="00AF2E52" w:rsidRPr="00C53F26" w:rsidRDefault="00AF2E52"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704" w:type="dxa"/>
            <w:gridSpan w:val="25"/>
            <w:shd w:val="clear" w:color="auto" w:fill="FFFFFF"/>
          </w:tcPr>
          <w:p w:rsidR="003F165D" w:rsidRPr="00B32463" w:rsidRDefault="001213CC" w:rsidP="003F165D">
            <w:pPr>
              <w:spacing w:line="240" w:lineRule="auto"/>
              <w:ind w:left="211" w:hanging="211"/>
              <w:jc w:val="both"/>
              <w:rPr>
                <w:rFonts w:ascii="Times New Roman" w:hAnsi="Times New Roman"/>
                <w:b/>
                <w:u w:val="single"/>
              </w:rPr>
            </w:pPr>
            <w:r w:rsidRPr="00B32463">
              <w:rPr>
                <w:rFonts w:ascii="Times New Roman" w:hAnsi="Times New Roman"/>
                <w:b/>
                <w:u w:val="single"/>
              </w:rPr>
              <w:t xml:space="preserve">I. </w:t>
            </w:r>
            <w:r w:rsidR="003F165D" w:rsidRPr="00B32463">
              <w:rPr>
                <w:rFonts w:ascii="Times New Roman" w:hAnsi="Times New Roman"/>
                <w:b/>
                <w:u w:val="single"/>
              </w:rPr>
              <w:t>Wysokość opłat</w:t>
            </w:r>
          </w:p>
          <w:p w:rsidR="003F165D" w:rsidRDefault="003F165D" w:rsidP="003F165D">
            <w:pPr>
              <w:spacing w:line="240" w:lineRule="auto"/>
              <w:jc w:val="both"/>
              <w:rPr>
                <w:rFonts w:ascii="Times New Roman" w:hAnsi="Times New Roman"/>
              </w:rPr>
            </w:pPr>
            <w:r>
              <w:rPr>
                <w:rFonts w:ascii="Times New Roman" w:hAnsi="Times New Roman"/>
              </w:rPr>
              <w:t>Dotychczasowa minimalna wysokość opłaty za czynności egzekucyjne oraz minimalna wysokość opłaty manipulacyjnej nie pokrywała ponoszonych przez organ egzekucyjny wydatków związanych z przeprowadzeniem egzekucji należności pieniężnych w niskiej wysokości. Przykładowo, w egzekucji z wynagrodzenia za pracę, gdy zaległość wynosiła 100</w:t>
            </w:r>
            <w:r w:rsidR="0066716F">
              <w:rPr>
                <w:rFonts w:ascii="Times New Roman" w:hAnsi="Times New Roman"/>
              </w:rPr>
              <w:t xml:space="preserve"> </w:t>
            </w:r>
            <w:r>
              <w:rPr>
                <w:rFonts w:ascii="Times New Roman" w:hAnsi="Times New Roman"/>
              </w:rPr>
              <w:t xml:space="preserve">zł, koszty egzekucyjne wynosiły 5,40 zł. Z kolei wydatki związane ze sporządzeniem </w:t>
            </w:r>
            <w:r>
              <w:rPr>
                <w:rFonts w:ascii="Times New Roman" w:hAnsi="Times New Roman"/>
              </w:rPr>
              <w:br/>
              <w:t>i doręczeniem zawiad</w:t>
            </w:r>
            <w:r w:rsidR="00245EFD">
              <w:rPr>
                <w:rFonts w:ascii="Times New Roman" w:hAnsi="Times New Roman"/>
              </w:rPr>
              <w:t>omienia o zajęciu wynosiły ok. 16,40</w:t>
            </w:r>
            <w:r>
              <w:rPr>
                <w:rFonts w:ascii="Times New Roman" w:hAnsi="Times New Roman"/>
              </w:rPr>
              <w:t xml:space="preserve"> zł (1</w:t>
            </w:r>
            <w:r w:rsidR="00245EFD">
              <w:rPr>
                <w:rFonts w:ascii="Times New Roman" w:hAnsi="Times New Roman"/>
              </w:rPr>
              <w:t>5</w:t>
            </w:r>
            <w:r>
              <w:rPr>
                <w:rFonts w:ascii="Times New Roman" w:hAnsi="Times New Roman"/>
              </w:rPr>
              <w:t>,</w:t>
            </w:r>
            <w:r w:rsidR="00245EFD">
              <w:rPr>
                <w:rFonts w:ascii="Times New Roman" w:hAnsi="Times New Roman"/>
              </w:rPr>
              <w:t>6</w:t>
            </w:r>
            <w:r>
              <w:rPr>
                <w:rFonts w:ascii="Times New Roman" w:hAnsi="Times New Roman"/>
              </w:rPr>
              <w:t>0 zł - koszt doręczenia za zwrotnym potwierdzeniem odbioru zawiadomienia o zajęciu pracodawcy i zobowiązanemu, 0,80</w:t>
            </w:r>
            <w:r w:rsidR="0066716F">
              <w:rPr>
                <w:rFonts w:ascii="Times New Roman" w:hAnsi="Times New Roman"/>
              </w:rPr>
              <w:t> zł</w:t>
            </w:r>
            <w:r>
              <w:rPr>
                <w:rFonts w:ascii="Times New Roman" w:hAnsi="Times New Roman"/>
              </w:rPr>
              <w:t xml:space="preserve"> - koszt sporządzenia tego dokumentu i jego odpisu).</w:t>
            </w:r>
          </w:p>
          <w:p w:rsidR="003F165D" w:rsidRDefault="003F165D" w:rsidP="003F165D">
            <w:pPr>
              <w:spacing w:line="240" w:lineRule="auto"/>
              <w:jc w:val="both"/>
              <w:rPr>
                <w:rFonts w:ascii="Times New Roman" w:hAnsi="Times New Roman"/>
              </w:rPr>
            </w:pPr>
            <w:r>
              <w:rPr>
                <w:rFonts w:ascii="Times New Roman" w:hAnsi="Times New Roman"/>
              </w:rPr>
              <w:t>Proponując minimalne kwoty opłaty egzekucyjnej i opłaty manipulacyjne uwzględniono również ponoszone przez dyrektorów izby administracji skarbowej wydatki na wynagrodzenia pracowników komórek egzekucyjnych urzędów skarbowych i inne wydatki (majątkowe i bieżące). W 2016 r. wydatki na wynagr</w:t>
            </w:r>
            <w:r w:rsidR="00245EFD">
              <w:rPr>
                <w:rFonts w:ascii="Times New Roman" w:hAnsi="Times New Roman"/>
              </w:rPr>
              <w:t>odzenia wyniosły ogółem 383 669 443 zł, a inne wydatki – ok. 51 </w:t>
            </w:r>
            <w:r>
              <w:rPr>
                <w:rFonts w:ascii="Times New Roman" w:hAnsi="Times New Roman"/>
              </w:rPr>
              <w:t>206</w:t>
            </w:r>
            <w:r w:rsidR="00245EFD">
              <w:rPr>
                <w:rFonts w:ascii="Times New Roman" w:hAnsi="Times New Roman"/>
              </w:rPr>
              <w:t xml:space="preserve"> </w:t>
            </w:r>
            <w:r>
              <w:rPr>
                <w:rFonts w:ascii="Times New Roman" w:hAnsi="Times New Roman"/>
              </w:rPr>
              <w:t>637 zł.</w:t>
            </w:r>
          </w:p>
          <w:p w:rsidR="00930DFA" w:rsidRDefault="003F165D" w:rsidP="003F165D">
            <w:pPr>
              <w:spacing w:line="240" w:lineRule="auto"/>
              <w:jc w:val="both"/>
              <w:rPr>
                <w:rFonts w:ascii="Times New Roman" w:hAnsi="Times New Roman"/>
              </w:rPr>
            </w:pPr>
            <w:r>
              <w:rPr>
                <w:rFonts w:ascii="Times New Roman" w:hAnsi="Times New Roman"/>
              </w:rPr>
              <w:t>Dodatkowo uwzględniono, że w 2016 r. uśredniony wydatek na załatwienie jednego tytułu wykonawczego w urzędach skarbowych wynosił ok. 68 zł (iloraz wydatków na wynagrodzenia pracowników i inne wyda</w:t>
            </w:r>
            <w:r w:rsidR="00245EFD">
              <w:rPr>
                <w:rFonts w:ascii="Times New Roman" w:hAnsi="Times New Roman"/>
              </w:rPr>
              <w:t>tki majątkowe i bieżące - 434 </w:t>
            </w:r>
            <w:r>
              <w:rPr>
                <w:rFonts w:ascii="Times New Roman" w:hAnsi="Times New Roman"/>
              </w:rPr>
              <w:t>876</w:t>
            </w:r>
            <w:r w:rsidR="00245EFD">
              <w:rPr>
                <w:rFonts w:ascii="Times New Roman" w:hAnsi="Times New Roman"/>
              </w:rPr>
              <w:t xml:space="preserve"> </w:t>
            </w:r>
            <w:r>
              <w:rPr>
                <w:rFonts w:ascii="Times New Roman" w:hAnsi="Times New Roman"/>
              </w:rPr>
              <w:t xml:space="preserve">080 zł do liczby załatwionych tytułów wykonawczych </w:t>
            </w:r>
            <w:r w:rsidR="00245EFD">
              <w:rPr>
                <w:rFonts w:ascii="Times New Roman" w:hAnsi="Times New Roman"/>
              </w:rPr>
              <w:t>–</w:t>
            </w:r>
            <w:r>
              <w:rPr>
                <w:rFonts w:ascii="Times New Roman" w:hAnsi="Times New Roman"/>
              </w:rPr>
              <w:t xml:space="preserve"> </w:t>
            </w:r>
            <w:r w:rsidR="00245EFD">
              <w:rPr>
                <w:rFonts w:ascii="Times New Roman" w:hAnsi="Times New Roman"/>
              </w:rPr>
              <w:t>6 </w:t>
            </w:r>
            <w:r w:rsidRPr="00242ED6">
              <w:rPr>
                <w:rFonts w:ascii="Times New Roman" w:hAnsi="Times New Roman"/>
              </w:rPr>
              <w:t>410</w:t>
            </w:r>
            <w:r w:rsidR="00245EFD">
              <w:rPr>
                <w:rFonts w:ascii="Times New Roman" w:hAnsi="Times New Roman"/>
              </w:rPr>
              <w:t xml:space="preserve"> </w:t>
            </w:r>
            <w:r w:rsidRPr="00242ED6">
              <w:rPr>
                <w:rFonts w:ascii="Times New Roman" w:hAnsi="Times New Roman"/>
              </w:rPr>
              <w:t>980</w:t>
            </w:r>
            <w:r>
              <w:rPr>
                <w:rFonts w:ascii="Times New Roman" w:hAnsi="Times New Roman"/>
              </w:rPr>
              <w:t>).</w:t>
            </w:r>
            <w:r w:rsidR="00930DFA">
              <w:rPr>
                <w:rFonts w:ascii="Times New Roman" w:hAnsi="Times New Roman"/>
              </w:rPr>
              <w:t xml:space="preserve"> </w:t>
            </w:r>
            <w:r w:rsidR="00CC712F">
              <w:rPr>
                <w:rFonts w:ascii="Times New Roman" w:hAnsi="Times New Roman"/>
              </w:rPr>
              <w:t xml:space="preserve">Powyższe wyliczenia stanowiły punkt wyjścia w zakresie szacowania wysokości opłaty manipulacyjnej. </w:t>
            </w:r>
          </w:p>
          <w:p w:rsidR="00CC712F" w:rsidRDefault="00CC712F" w:rsidP="003F165D">
            <w:pPr>
              <w:spacing w:line="240" w:lineRule="auto"/>
              <w:jc w:val="both"/>
              <w:rPr>
                <w:rFonts w:ascii="Times New Roman" w:hAnsi="Times New Roman"/>
              </w:rPr>
            </w:pPr>
            <w:r>
              <w:rPr>
                <w:rFonts w:ascii="Times New Roman" w:hAnsi="Times New Roman"/>
              </w:rPr>
              <w:t>Przy szacowaniu przyjęto zasadę, iż tytuły wykonawcze na podstawie których nie jest wszczyna egzekucja</w:t>
            </w:r>
            <w:r w:rsidR="00860407">
              <w:rPr>
                <w:rFonts w:ascii="Times New Roman" w:hAnsi="Times New Roman"/>
              </w:rPr>
              <w:t>,</w:t>
            </w:r>
            <w:r>
              <w:rPr>
                <w:rFonts w:ascii="Times New Roman" w:hAnsi="Times New Roman"/>
              </w:rPr>
              <w:t xml:space="preserve"> pomimo wszczęcia postępowania egzekucyjnego</w:t>
            </w:r>
            <w:r w:rsidR="00860407">
              <w:rPr>
                <w:rFonts w:ascii="Times New Roman" w:hAnsi="Times New Roman"/>
              </w:rPr>
              <w:t>,</w:t>
            </w:r>
            <w:r>
              <w:rPr>
                <w:rFonts w:ascii="Times New Roman" w:hAnsi="Times New Roman"/>
              </w:rPr>
              <w:t xml:space="preserve"> </w:t>
            </w:r>
            <w:r w:rsidR="00930DFA">
              <w:rPr>
                <w:rFonts w:ascii="Times New Roman" w:hAnsi="Times New Roman"/>
              </w:rPr>
              <w:t xml:space="preserve">wymagają mniejszego nakładu </w:t>
            </w:r>
            <w:r w:rsidR="00930DFA">
              <w:rPr>
                <w:rFonts w:ascii="Times New Roman" w:hAnsi="Times New Roman"/>
              </w:rPr>
              <w:lastRenderedPageBreak/>
              <w:t xml:space="preserve">pracy ze strony organu egzekucyjnego </w:t>
            </w:r>
            <w:r w:rsidR="00860407">
              <w:rPr>
                <w:rFonts w:ascii="Times New Roman" w:hAnsi="Times New Roman"/>
              </w:rPr>
              <w:t>W</w:t>
            </w:r>
            <w:r w:rsidR="00930DFA">
              <w:rPr>
                <w:rFonts w:ascii="Times New Roman" w:hAnsi="Times New Roman"/>
              </w:rPr>
              <w:t xml:space="preserve"> związku z powyższym ich obsługa jest mniej kosztowna. Przypadki, gdy pomimo wszczęcia postępowania egzekucyjnego nie wszczyna się egzekucji dotyczą</w:t>
            </w:r>
            <w:r w:rsidR="00860407">
              <w:rPr>
                <w:rFonts w:ascii="Times New Roman" w:hAnsi="Times New Roman"/>
              </w:rPr>
              <w:t>:</w:t>
            </w:r>
            <w:r w:rsidR="00930DFA">
              <w:rPr>
                <w:rFonts w:ascii="Times New Roman" w:hAnsi="Times New Roman"/>
              </w:rPr>
              <w:t xml:space="preserve"> </w:t>
            </w:r>
            <w:r>
              <w:rPr>
                <w:rFonts w:ascii="Times New Roman" w:hAnsi="Times New Roman"/>
              </w:rPr>
              <w:t>zapłat</w:t>
            </w:r>
            <w:r w:rsidR="00930DFA">
              <w:rPr>
                <w:rFonts w:ascii="Times New Roman" w:hAnsi="Times New Roman"/>
              </w:rPr>
              <w:t>y</w:t>
            </w:r>
            <w:r>
              <w:rPr>
                <w:rFonts w:ascii="Times New Roman" w:hAnsi="Times New Roman"/>
              </w:rPr>
              <w:t xml:space="preserve"> należności pieniężnej wierzycielowi przed wszczęciem</w:t>
            </w:r>
            <w:r w:rsidR="00930DFA">
              <w:rPr>
                <w:rFonts w:ascii="Times New Roman" w:hAnsi="Times New Roman"/>
              </w:rPr>
              <w:t xml:space="preserve"> egzekucji</w:t>
            </w:r>
            <w:r w:rsidR="00BB1807">
              <w:rPr>
                <w:rFonts w:ascii="Times New Roman" w:hAnsi="Times New Roman"/>
              </w:rPr>
              <w:t>,</w:t>
            </w:r>
            <w:r w:rsidR="00930DFA">
              <w:rPr>
                <w:rFonts w:ascii="Times New Roman" w:hAnsi="Times New Roman"/>
              </w:rPr>
              <w:t xml:space="preserve"> nieprzystąpienia</w:t>
            </w:r>
            <w:r>
              <w:rPr>
                <w:rFonts w:ascii="Times New Roman" w:hAnsi="Times New Roman"/>
              </w:rPr>
              <w:t xml:space="preserve"> do egzekucji </w:t>
            </w:r>
            <w:r w:rsidR="00930DFA">
              <w:rPr>
                <w:rFonts w:ascii="Times New Roman" w:hAnsi="Times New Roman"/>
              </w:rPr>
              <w:t>na podstawie art. 29 § 2 u</w:t>
            </w:r>
            <w:r w:rsidR="00BB1807">
              <w:rPr>
                <w:rFonts w:ascii="Times New Roman" w:hAnsi="Times New Roman"/>
              </w:rPr>
              <w:t>.p.e.a.</w:t>
            </w:r>
            <w:r w:rsidR="00930DFA">
              <w:rPr>
                <w:rFonts w:ascii="Times New Roman" w:hAnsi="Times New Roman"/>
              </w:rPr>
              <w:t xml:space="preserve"> Dla tych przypadków</w:t>
            </w:r>
            <w:r w:rsidR="00860407">
              <w:rPr>
                <w:rFonts w:ascii="Times New Roman" w:hAnsi="Times New Roman"/>
              </w:rPr>
              <w:t xml:space="preserve"> </w:t>
            </w:r>
            <w:r w:rsidR="00930DFA">
              <w:rPr>
                <w:rFonts w:ascii="Times New Roman" w:hAnsi="Times New Roman"/>
              </w:rPr>
              <w:t xml:space="preserve">przyjęto kwotę opłaty manipulacyjnej w wysokości 40 zł (zatem </w:t>
            </w:r>
            <w:r w:rsidR="00860407">
              <w:rPr>
                <w:rFonts w:ascii="Times New Roman" w:hAnsi="Times New Roman"/>
              </w:rPr>
              <w:t xml:space="preserve">o </w:t>
            </w:r>
            <w:r w:rsidR="00930DFA">
              <w:rPr>
                <w:rFonts w:ascii="Times New Roman" w:hAnsi="Times New Roman"/>
              </w:rPr>
              <w:t>ok. 30% poniżej średniej kwoty wydatków na obsługę tytułu wykonawczego</w:t>
            </w:r>
            <w:r w:rsidR="00860407">
              <w:rPr>
                <w:rFonts w:ascii="Times New Roman" w:hAnsi="Times New Roman"/>
              </w:rPr>
              <w:t xml:space="preserve"> – 68 zł</w:t>
            </w:r>
            <w:r w:rsidR="00930DFA">
              <w:rPr>
                <w:rFonts w:ascii="Times New Roman" w:hAnsi="Times New Roman"/>
              </w:rPr>
              <w:t>). Wskazana</w:t>
            </w:r>
            <w:r w:rsidR="00860407">
              <w:rPr>
                <w:rFonts w:ascii="Times New Roman" w:hAnsi="Times New Roman"/>
              </w:rPr>
              <w:t xml:space="preserve"> kwota opłaty</w:t>
            </w:r>
            <w:r w:rsidR="00930DFA">
              <w:rPr>
                <w:rFonts w:ascii="Times New Roman" w:hAnsi="Times New Roman"/>
              </w:rPr>
              <w:t xml:space="preserve"> zrekompensuje organowi egzekucyjnemu wydatki związane z wstępną obsługą tytułu wykonawczego (sprawdzenie, czy obowiązek podlega egzekucji, czy tytuł wykonawcz</w:t>
            </w:r>
            <w:r w:rsidR="0053474F">
              <w:rPr>
                <w:rFonts w:ascii="Times New Roman" w:hAnsi="Times New Roman"/>
              </w:rPr>
              <w:t>y spełnia wymagania określone przepisami prawa, poprawność danych zobowiązanego, wprowadzenie lub „zaciągnięcie”</w:t>
            </w:r>
            <w:r w:rsidR="00860407">
              <w:rPr>
                <w:rFonts w:ascii="Times New Roman" w:hAnsi="Times New Roman"/>
              </w:rPr>
              <w:t xml:space="preserve"> tytułu wykonawczego</w:t>
            </w:r>
            <w:r w:rsidR="0053474F">
              <w:rPr>
                <w:rFonts w:ascii="Times New Roman" w:hAnsi="Times New Roman"/>
              </w:rPr>
              <w:t xml:space="preserve"> do systemu obsługującego organ egzekucyjny</w:t>
            </w:r>
            <w:r w:rsidR="00BB1807">
              <w:rPr>
                <w:rFonts w:ascii="Times New Roman" w:hAnsi="Times New Roman"/>
              </w:rPr>
              <w:t>)</w:t>
            </w:r>
            <w:r w:rsidR="0053474F">
              <w:rPr>
                <w:rFonts w:ascii="Times New Roman" w:hAnsi="Times New Roman"/>
              </w:rPr>
              <w:t xml:space="preserve">. </w:t>
            </w:r>
          </w:p>
          <w:p w:rsidR="00930DFA" w:rsidRDefault="00860407" w:rsidP="003F165D">
            <w:pPr>
              <w:spacing w:line="240" w:lineRule="auto"/>
              <w:jc w:val="both"/>
              <w:rPr>
                <w:rFonts w:ascii="Times New Roman" w:hAnsi="Times New Roman"/>
              </w:rPr>
            </w:pPr>
            <w:r>
              <w:rPr>
                <w:rFonts w:ascii="Times New Roman" w:hAnsi="Times New Roman"/>
              </w:rPr>
              <w:t>Zakłada się</w:t>
            </w:r>
            <w:r w:rsidR="00930DFA">
              <w:rPr>
                <w:rFonts w:ascii="Times New Roman" w:hAnsi="Times New Roman"/>
              </w:rPr>
              <w:t xml:space="preserve">, że w odniesieniu do tytułów wykonawczych na podstawie których wszczyna się egzekucję administracyjną opłata egzekucyjna powinna być odpowiednio wyższa. Jej wysokość powinna </w:t>
            </w:r>
            <w:r>
              <w:rPr>
                <w:rFonts w:ascii="Times New Roman" w:hAnsi="Times New Roman"/>
              </w:rPr>
              <w:t xml:space="preserve">odzwierciedlać nakład pracy organu egzekucyjnego związany z przygotowaniem do wszczęcia egzekucji administracyjnej tj. nadanie klauzuli </w:t>
            </w:r>
            <w:r w:rsidR="00BB1807">
              <w:rPr>
                <w:rFonts w:ascii="Times New Roman" w:hAnsi="Times New Roman"/>
              </w:rPr>
              <w:t>o skierowaniu tytułu wykonawczego do egzekucji</w:t>
            </w:r>
            <w:r>
              <w:rPr>
                <w:rFonts w:ascii="Times New Roman" w:hAnsi="Times New Roman"/>
              </w:rPr>
              <w:t xml:space="preserve">, ustalenie majątku zobowiązanego, </w:t>
            </w:r>
            <w:r w:rsidR="00295BF7">
              <w:rPr>
                <w:rFonts w:ascii="Times New Roman" w:hAnsi="Times New Roman"/>
              </w:rPr>
              <w:t xml:space="preserve">doręczenie zobowiązanemu odpisu tytułu wykonawczego, </w:t>
            </w:r>
            <w:r>
              <w:rPr>
                <w:rFonts w:ascii="Times New Roman" w:hAnsi="Times New Roman"/>
              </w:rPr>
              <w:t>wybór najmniej uciążliwego środka egzekucyjnego, czynności związane z zastosowaniem tego środka (przygotowanie zajęcia wierzytelności, przygotowanie go do doręczenia itd.). Biorąc pod uwagę powyższe przyj</w:t>
            </w:r>
            <w:r w:rsidR="00295BF7">
              <w:rPr>
                <w:rFonts w:ascii="Times New Roman" w:hAnsi="Times New Roman"/>
              </w:rPr>
              <w:t xml:space="preserve">ęto, że opłata manipulacyjna w </w:t>
            </w:r>
            <w:r>
              <w:rPr>
                <w:rFonts w:ascii="Times New Roman" w:hAnsi="Times New Roman"/>
              </w:rPr>
              <w:t xml:space="preserve">przypadku </w:t>
            </w:r>
            <w:r w:rsidR="00295BF7">
              <w:rPr>
                <w:rFonts w:ascii="Times New Roman" w:hAnsi="Times New Roman"/>
              </w:rPr>
              <w:t xml:space="preserve">wszczęcia egzekucji </w:t>
            </w:r>
            <w:r>
              <w:rPr>
                <w:rFonts w:ascii="Times New Roman" w:hAnsi="Times New Roman"/>
              </w:rPr>
              <w:t>powinna być wyższa od średniego wydatku na obsługę tytułu wykonawczego w urzędzie skarbowym (68 zł)</w:t>
            </w:r>
            <w:r w:rsidR="00564669">
              <w:rPr>
                <w:rFonts w:ascii="Times New Roman" w:hAnsi="Times New Roman"/>
              </w:rPr>
              <w:t>,</w:t>
            </w:r>
            <w:r>
              <w:rPr>
                <w:rFonts w:ascii="Times New Roman" w:hAnsi="Times New Roman"/>
              </w:rPr>
              <w:t xml:space="preserve"> w proporcji odpowiadającej jej obniżeniu w odniesieniu do postępowania egzekucyjnego, w</w:t>
            </w:r>
            <w:r w:rsidR="00564669">
              <w:rPr>
                <w:rFonts w:ascii="Times New Roman" w:hAnsi="Times New Roman"/>
              </w:rPr>
              <w:t> </w:t>
            </w:r>
            <w:r>
              <w:rPr>
                <w:rFonts w:ascii="Times New Roman" w:hAnsi="Times New Roman"/>
              </w:rPr>
              <w:t>którym nie wszczęto egzekucji tj. o 30%</w:t>
            </w:r>
            <w:r w:rsidR="00295BF7">
              <w:rPr>
                <w:rFonts w:ascii="Times New Roman" w:hAnsi="Times New Roman"/>
              </w:rPr>
              <w:t>. W związku z powyższym wysokość opłaty egzekucyjnej w przypadku wszczęcia egzekucji administracyjnej ustalono na poziomie 100</w:t>
            </w:r>
            <w:r w:rsidR="00BB1807">
              <w:rPr>
                <w:rFonts w:ascii="Times New Roman" w:hAnsi="Times New Roman"/>
              </w:rPr>
              <w:t xml:space="preserve"> </w:t>
            </w:r>
            <w:r w:rsidR="00295BF7">
              <w:rPr>
                <w:rFonts w:ascii="Times New Roman" w:hAnsi="Times New Roman"/>
              </w:rPr>
              <w:t>zł.</w:t>
            </w:r>
          </w:p>
          <w:p w:rsidR="003F165D" w:rsidRDefault="003F165D" w:rsidP="003F165D">
            <w:pPr>
              <w:spacing w:line="240" w:lineRule="auto"/>
              <w:jc w:val="both"/>
              <w:rPr>
                <w:rFonts w:ascii="Times New Roman" w:hAnsi="Times New Roman"/>
              </w:rPr>
            </w:pPr>
            <w:r>
              <w:rPr>
                <w:rFonts w:ascii="Times New Roman" w:hAnsi="Times New Roman"/>
              </w:rPr>
              <w:t>Przyjęto</w:t>
            </w:r>
            <w:r w:rsidR="004149C3">
              <w:rPr>
                <w:rFonts w:ascii="Times New Roman" w:hAnsi="Times New Roman"/>
              </w:rPr>
              <w:t>,</w:t>
            </w:r>
            <w:r>
              <w:rPr>
                <w:rFonts w:ascii="Times New Roman" w:hAnsi="Times New Roman"/>
              </w:rPr>
              <w:t xml:space="preserve"> że suma minimalnych kwot opłat</w:t>
            </w:r>
            <w:r w:rsidR="00295BF7">
              <w:rPr>
                <w:rFonts w:ascii="Times New Roman" w:hAnsi="Times New Roman"/>
              </w:rPr>
              <w:t xml:space="preserve">y manipulacyjnej na poziomie 40 </w:t>
            </w:r>
            <w:r w:rsidR="004149C3">
              <w:rPr>
                <w:rFonts w:ascii="Times New Roman" w:hAnsi="Times New Roman"/>
              </w:rPr>
              <w:t>lub</w:t>
            </w:r>
            <w:r w:rsidR="00295BF7">
              <w:rPr>
                <w:rFonts w:ascii="Times New Roman" w:hAnsi="Times New Roman"/>
              </w:rPr>
              <w:t xml:space="preserve"> 100 zł</w:t>
            </w:r>
            <w:r>
              <w:rPr>
                <w:rFonts w:ascii="Times New Roman" w:hAnsi="Times New Roman"/>
              </w:rPr>
              <w:t xml:space="preserve"> zrekompensuje wydatki w związku z koniecznością </w:t>
            </w:r>
            <w:r w:rsidR="00BB1807">
              <w:rPr>
                <w:rFonts w:ascii="Times New Roman" w:hAnsi="Times New Roman"/>
              </w:rPr>
              <w:t xml:space="preserve">wszczęcia egzekucji administracyjnej </w:t>
            </w:r>
            <w:r>
              <w:rPr>
                <w:rFonts w:ascii="Times New Roman" w:hAnsi="Times New Roman"/>
              </w:rPr>
              <w:t>względem podmiotu niewykonującego obowiązku w sposób dobrowolny.</w:t>
            </w:r>
          </w:p>
          <w:p w:rsidR="00BB1807" w:rsidRDefault="00BB1807" w:rsidP="003F165D">
            <w:pPr>
              <w:spacing w:line="240" w:lineRule="auto"/>
              <w:jc w:val="both"/>
              <w:rPr>
                <w:rFonts w:ascii="Times New Roman" w:hAnsi="Times New Roman"/>
                <w:color w:val="000000" w:themeColor="text1"/>
              </w:rPr>
            </w:pPr>
          </w:p>
          <w:p w:rsidR="003F165D" w:rsidRDefault="00714281" w:rsidP="003F165D">
            <w:pPr>
              <w:spacing w:line="240" w:lineRule="auto"/>
              <w:jc w:val="both"/>
              <w:rPr>
                <w:rFonts w:ascii="Times New Roman" w:hAnsi="Times New Roman"/>
                <w:color w:val="000000" w:themeColor="text1"/>
              </w:rPr>
            </w:pPr>
            <w:r w:rsidRPr="00BB66CC">
              <w:rPr>
                <w:rFonts w:ascii="Times New Roman" w:hAnsi="Times New Roman"/>
                <w:color w:val="000000" w:themeColor="text1"/>
              </w:rPr>
              <w:t xml:space="preserve">Górna granica opłaty egzekucyjnej </w:t>
            </w:r>
            <w:r w:rsidR="00D0490F" w:rsidRPr="00BB66CC">
              <w:rPr>
                <w:rFonts w:ascii="Times New Roman" w:hAnsi="Times New Roman"/>
                <w:color w:val="000000" w:themeColor="text1"/>
              </w:rPr>
              <w:t>została skalkulowana na kwotę</w:t>
            </w:r>
            <w:r w:rsidRPr="00BB66CC">
              <w:rPr>
                <w:rFonts w:ascii="Times New Roman" w:hAnsi="Times New Roman"/>
                <w:color w:val="000000" w:themeColor="text1"/>
              </w:rPr>
              <w:t xml:space="preserve"> 40 </w:t>
            </w:r>
            <w:r w:rsidR="00AB299B" w:rsidRPr="00BB66CC">
              <w:rPr>
                <w:rFonts w:ascii="Times New Roman" w:hAnsi="Times New Roman"/>
                <w:color w:val="000000" w:themeColor="text1"/>
              </w:rPr>
              <w:t xml:space="preserve">tys. </w:t>
            </w:r>
            <w:r w:rsidRPr="00BB66CC">
              <w:rPr>
                <w:rFonts w:ascii="Times New Roman" w:hAnsi="Times New Roman"/>
                <w:color w:val="000000" w:themeColor="text1"/>
              </w:rPr>
              <w:t>zł</w:t>
            </w:r>
            <w:r w:rsidR="00D0490F" w:rsidRPr="00BB66CC">
              <w:rPr>
                <w:rFonts w:ascii="Times New Roman" w:hAnsi="Times New Roman"/>
                <w:color w:val="000000" w:themeColor="text1"/>
              </w:rPr>
              <w:t>.</w:t>
            </w:r>
            <w:r w:rsidRPr="00BB66CC">
              <w:rPr>
                <w:rFonts w:ascii="Times New Roman" w:hAnsi="Times New Roman"/>
                <w:color w:val="000000" w:themeColor="text1"/>
              </w:rPr>
              <w:t xml:space="preserve"> </w:t>
            </w:r>
            <w:r w:rsidR="00D0490F" w:rsidRPr="00BB66CC">
              <w:rPr>
                <w:rFonts w:ascii="Times New Roman" w:hAnsi="Times New Roman"/>
                <w:color w:val="000000" w:themeColor="text1"/>
              </w:rPr>
              <w:t>W</w:t>
            </w:r>
            <w:r w:rsidRPr="00BB66CC">
              <w:rPr>
                <w:rFonts w:ascii="Times New Roman" w:hAnsi="Times New Roman"/>
                <w:color w:val="000000" w:themeColor="text1"/>
              </w:rPr>
              <w:t xml:space="preserve"> praktyce </w:t>
            </w:r>
            <w:r w:rsidR="00D0490F" w:rsidRPr="00BB66CC">
              <w:rPr>
                <w:rFonts w:ascii="Times New Roman" w:hAnsi="Times New Roman"/>
                <w:color w:val="000000" w:themeColor="text1"/>
              </w:rPr>
              <w:t xml:space="preserve">wskazana kwota </w:t>
            </w:r>
            <w:r w:rsidRPr="00BB66CC">
              <w:rPr>
                <w:rFonts w:ascii="Times New Roman" w:hAnsi="Times New Roman"/>
                <w:color w:val="000000" w:themeColor="text1"/>
              </w:rPr>
              <w:t>będzie dotyczyła tytułów wykonawczych, które obejmują należności wyższe niż 400 </w:t>
            </w:r>
            <w:r w:rsidR="00AB299B" w:rsidRPr="00BB66CC">
              <w:rPr>
                <w:rFonts w:ascii="Times New Roman" w:hAnsi="Times New Roman"/>
                <w:color w:val="000000" w:themeColor="text1"/>
              </w:rPr>
              <w:t xml:space="preserve">tys. </w:t>
            </w:r>
            <w:r w:rsidRPr="00BB66CC">
              <w:rPr>
                <w:rFonts w:ascii="Times New Roman" w:hAnsi="Times New Roman"/>
                <w:color w:val="000000" w:themeColor="text1"/>
              </w:rPr>
              <w:t>zł (10%*400 </w:t>
            </w:r>
            <w:r w:rsidR="00AB299B" w:rsidRPr="00BB66CC">
              <w:rPr>
                <w:rFonts w:ascii="Times New Roman" w:hAnsi="Times New Roman"/>
                <w:color w:val="000000" w:themeColor="text1"/>
              </w:rPr>
              <w:t xml:space="preserve">tys. </w:t>
            </w:r>
            <w:r w:rsidRPr="00BB66CC">
              <w:rPr>
                <w:rFonts w:ascii="Times New Roman" w:hAnsi="Times New Roman"/>
                <w:color w:val="000000" w:themeColor="text1"/>
              </w:rPr>
              <w:t>zł =40 </w:t>
            </w:r>
            <w:r w:rsidR="00AB299B" w:rsidRPr="00BB66CC">
              <w:rPr>
                <w:rFonts w:ascii="Times New Roman" w:hAnsi="Times New Roman"/>
                <w:color w:val="000000" w:themeColor="text1"/>
              </w:rPr>
              <w:t>tys. zł</w:t>
            </w:r>
            <w:r w:rsidR="006649A3" w:rsidRPr="00BB66CC">
              <w:rPr>
                <w:rFonts w:ascii="Times New Roman" w:hAnsi="Times New Roman"/>
                <w:color w:val="000000" w:themeColor="text1"/>
              </w:rPr>
              <w:t>)</w:t>
            </w:r>
            <w:r w:rsidR="00A67824" w:rsidRPr="00BB66CC">
              <w:rPr>
                <w:rFonts w:ascii="Times New Roman" w:hAnsi="Times New Roman"/>
                <w:color w:val="000000" w:themeColor="text1"/>
              </w:rPr>
              <w:t>. W przypadku należności niższych wysokość opłaty egzekucyjnej</w:t>
            </w:r>
            <w:r w:rsidR="008F26C7">
              <w:rPr>
                <w:rFonts w:ascii="Times New Roman" w:hAnsi="Times New Roman"/>
                <w:color w:val="000000" w:themeColor="text1"/>
              </w:rPr>
              <w:t xml:space="preserve"> wyniesie 10% wyegzekwowanej należności</w:t>
            </w:r>
            <w:r w:rsidR="006649A3" w:rsidRPr="00BB66CC">
              <w:rPr>
                <w:rFonts w:ascii="Times New Roman" w:hAnsi="Times New Roman"/>
                <w:color w:val="000000" w:themeColor="text1"/>
              </w:rPr>
              <w:t xml:space="preserve">. </w:t>
            </w:r>
            <w:r w:rsidR="00873308" w:rsidRPr="00BB66CC">
              <w:rPr>
                <w:rFonts w:ascii="Times New Roman" w:hAnsi="Times New Roman"/>
                <w:color w:val="000000" w:themeColor="text1"/>
              </w:rPr>
              <w:t>Egzekwowanie tytułów wykonawczych obejmujących duże należności wymaga znacznie większego nakładu pracy pracowników organu egzekucyjnego. Dzieje się tak</w:t>
            </w:r>
            <w:r w:rsidR="00BB1807">
              <w:rPr>
                <w:rFonts w:ascii="Times New Roman" w:hAnsi="Times New Roman"/>
                <w:color w:val="000000" w:themeColor="text1"/>
              </w:rPr>
              <w:t>,</w:t>
            </w:r>
            <w:r w:rsidR="00873308" w:rsidRPr="00BB66CC">
              <w:rPr>
                <w:rFonts w:ascii="Times New Roman" w:hAnsi="Times New Roman"/>
                <w:color w:val="000000" w:themeColor="text1"/>
              </w:rPr>
              <w:t xml:space="preserve"> ponieważ takie postępowanie egzekucyjne trwa dłużej, niejednokrotnie wymaga zastosowania wielu środków egzekucyjnych. W przypadku tytułów wykonawczych obejmujących niewielkie należności, do ich wyegzekwowania często wystarczy zastosowanie jednego środka egzekucyjnego np. zajęcia wierzytelności z rachunku bankowego, czy zajęcie wynagrodzenia za pracę. </w:t>
            </w:r>
            <w:r w:rsidR="0019487E" w:rsidRPr="00BB66CC">
              <w:rPr>
                <w:rFonts w:ascii="Times New Roman" w:hAnsi="Times New Roman"/>
                <w:color w:val="000000" w:themeColor="text1"/>
              </w:rPr>
              <w:t xml:space="preserve">W odniesieniu do tytułów wykonawczych obejmujących wysokie należności środki </w:t>
            </w:r>
            <w:r w:rsidR="008F26C7">
              <w:rPr>
                <w:rFonts w:ascii="Times New Roman" w:hAnsi="Times New Roman"/>
                <w:color w:val="000000" w:themeColor="text1"/>
              </w:rPr>
              <w:t xml:space="preserve">pieniężne </w:t>
            </w:r>
            <w:r w:rsidR="0019487E" w:rsidRPr="00BB66CC">
              <w:rPr>
                <w:rFonts w:ascii="Times New Roman" w:hAnsi="Times New Roman"/>
                <w:color w:val="000000" w:themeColor="text1"/>
              </w:rPr>
              <w:t>wyegzekwowane w wyniku zastosowania jednego środka egzekucyjnego zwykle nie wystarczają na pokrycie całej należności. W takim przypadku organ egzekucyjny zmuszony jest stosować kolejne środki egzekucyjne</w:t>
            </w:r>
            <w:r w:rsidR="00BB1807">
              <w:rPr>
                <w:rFonts w:ascii="Times New Roman" w:hAnsi="Times New Roman"/>
                <w:color w:val="000000" w:themeColor="text1"/>
              </w:rPr>
              <w:t xml:space="preserve"> wymagające zwiększonej pracy pracownika obsługującego organ egzekucyjny, np. wieloetapową egzekucję z ruchomości, czy też egzekucję z nieruchomości</w:t>
            </w:r>
            <w:r w:rsidR="0019487E" w:rsidRPr="00BB66CC">
              <w:rPr>
                <w:rFonts w:ascii="Times New Roman" w:hAnsi="Times New Roman"/>
                <w:color w:val="000000" w:themeColor="text1"/>
              </w:rPr>
              <w:t xml:space="preserve">. Ponadto </w:t>
            </w:r>
            <w:r w:rsidR="005A2004" w:rsidRPr="00BB66CC">
              <w:rPr>
                <w:rFonts w:ascii="Times New Roman" w:hAnsi="Times New Roman"/>
                <w:color w:val="000000" w:themeColor="text1"/>
              </w:rPr>
              <w:t>w</w:t>
            </w:r>
            <w:r w:rsidR="00564669">
              <w:rPr>
                <w:rFonts w:ascii="Times New Roman" w:hAnsi="Times New Roman"/>
                <w:color w:val="000000" w:themeColor="text1"/>
              </w:rPr>
              <w:t> </w:t>
            </w:r>
            <w:r w:rsidR="005A2004" w:rsidRPr="00BB66CC">
              <w:rPr>
                <w:rFonts w:ascii="Times New Roman" w:hAnsi="Times New Roman"/>
                <w:color w:val="000000" w:themeColor="text1"/>
              </w:rPr>
              <w:t xml:space="preserve">przypadku tytułów wykonawczych obejmujących wysokie należności </w:t>
            </w:r>
            <w:r w:rsidR="00091386" w:rsidRPr="00BB66CC">
              <w:rPr>
                <w:rFonts w:ascii="Times New Roman" w:hAnsi="Times New Roman"/>
                <w:color w:val="000000" w:themeColor="text1"/>
              </w:rPr>
              <w:t xml:space="preserve">znacznie większego nakładu pracy wymaga zbieranie kompletnych informacji dotyczących </w:t>
            </w:r>
            <w:r w:rsidR="00A67824" w:rsidRPr="00BB66CC">
              <w:rPr>
                <w:rFonts w:ascii="Times New Roman" w:hAnsi="Times New Roman"/>
                <w:color w:val="000000" w:themeColor="text1"/>
              </w:rPr>
              <w:t>majątku zobowiązanego</w:t>
            </w:r>
            <w:r w:rsidR="008F26C7">
              <w:rPr>
                <w:rFonts w:ascii="Times New Roman" w:hAnsi="Times New Roman"/>
                <w:color w:val="000000" w:themeColor="text1"/>
              </w:rPr>
              <w:t xml:space="preserve"> (np. często organ egzekucyjny występuje do sądu o nakazanie zobowiązanemu wyjawienie majątku). Powyższe </w:t>
            </w:r>
            <w:r w:rsidR="00A67824" w:rsidRPr="00BB66CC">
              <w:rPr>
                <w:rFonts w:ascii="Times New Roman" w:hAnsi="Times New Roman"/>
                <w:color w:val="000000" w:themeColor="text1"/>
              </w:rPr>
              <w:t xml:space="preserve">powoduje, że nakład pracy dotyczący postepowań egzekucyjnych prowadzonych na podstawie tytułów wykonawczych obejmujących wysokie kwoty należności jest znacznie większy. </w:t>
            </w:r>
            <w:r w:rsidR="00564669">
              <w:rPr>
                <w:rFonts w:ascii="Times New Roman" w:hAnsi="Times New Roman"/>
                <w:color w:val="000000" w:themeColor="text1"/>
              </w:rPr>
              <w:t>K</w:t>
            </w:r>
            <w:r w:rsidR="00493313" w:rsidRPr="00BB66CC">
              <w:rPr>
                <w:rFonts w:ascii="Times New Roman" w:hAnsi="Times New Roman"/>
                <w:color w:val="000000" w:themeColor="text1"/>
              </w:rPr>
              <w:t xml:space="preserve">wota </w:t>
            </w:r>
            <w:r w:rsidR="00A67824" w:rsidRPr="00BB66CC">
              <w:rPr>
                <w:rFonts w:ascii="Times New Roman" w:hAnsi="Times New Roman"/>
                <w:color w:val="000000" w:themeColor="text1"/>
              </w:rPr>
              <w:t>maksymalnej wysokości opłaty egze</w:t>
            </w:r>
            <w:r w:rsidR="00564669">
              <w:rPr>
                <w:rFonts w:ascii="Times New Roman" w:hAnsi="Times New Roman"/>
                <w:color w:val="000000" w:themeColor="text1"/>
              </w:rPr>
              <w:t xml:space="preserve">kucyjnej została skalkulowana w </w:t>
            </w:r>
            <w:r w:rsidR="00A67824" w:rsidRPr="00BB66CC">
              <w:rPr>
                <w:rFonts w:ascii="Times New Roman" w:hAnsi="Times New Roman"/>
                <w:color w:val="000000" w:themeColor="text1"/>
              </w:rPr>
              <w:t xml:space="preserve">oparciu </w:t>
            </w:r>
            <w:r w:rsidR="0054338A" w:rsidRPr="00BB66CC">
              <w:rPr>
                <w:rFonts w:ascii="Times New Roman" w:hAnsi="Times New Roman"/>
                <w:color w:val="000000" w:themeColor="text1"/>
              </w:rPr>
              <w:t>konieczny nakład pracy do wyegzekwowania wysokiej należności</w:t>
            </w:r>
            <w:r w:rsidR="00BB1807">
              <w:rPr>
                <w:rFonts w:ascii="Times New Roman" w:hAnsi="Times New Roman"/>
                <w:color w:val="000000" w:themeColor="text1"/>
              </w:rPr>
              <w:t>, przy uwzględnieniu zaleceń TK, zgodnie z którymi opłaty te pełnią również funkcję stymulacyjno-wychowawczą</w:t>
            </w:r>
            <w:r w:rsidR="0054338A" w:rsidRPr="00BB66CC">
              <w:rPr>
                <w:rFonts w:ascii="Times New Roman" w:hAnsi="Times New Roman"/>
                <w:color w:val="000000" w:themeColor="text1"/>
              </w:rPr>
              <w:t xml:space="preserve">. </w:t>
            </w:r>
          </w:p>
          <w:p w:rsidR="008B239E" w:rsidRPr="00BB66CC" w:rsidRDefault="008B239E" w:rsidP="003F165D">
            <w:pPr>
              <w:spacing w:line="240" w:lineRule="auto"/>
              <w:jc w:val="both"/>
              <w:rPr>
                <w:rFonts w:ascii="Times New Roman" w:hAnsi="Times New Roman"/>
                <w:color w:val="000000" w:themeColor="text1"/>
              </w:rPr>
            </w:pPr>
          </w:p>
          <w:p w:rsidR="003F165D" w:rsidRPr="00B32463" w:rsidRDefault="001213CC" w:rsidP="003F165D">
            <w:pPr>
              <w:spacing w:line="240" w:lineRule="auto"/>
              <w:ind w:left="211" w:hanging="211"/>
              <w:jc w:val="both"/>
              <w:rPr>
                <w:rFonts w:ascii="Times New Roman" w:hAnsi="Times New Roman"/>
                <w:b/>
                <w:u w:val="single"/>
              </w:rPr>
            </w:pPr>
            <w:r w:rsidRPr="00B32463">
              <w:rPr>
                <w:rFonts w:ascii="Times New Roman" w:hAnsi="Times New Roman"/>
                <w:b/>
                <w:u w:val="single"/>
              </w:rPr>
              <w:t xml:space="preserve">II. </w:t>
            </w:r>
            <w:r w:rsidR="003F165D" w:rsidRPr="00B32463">
              <w:rPr>
                <w:rFonts w:ascii="Times New Roman" w:hAnsi="Times New Roman"/>
                <w:b/>
                <w:u w:val="single"/>
              </w:rPr>
              <w:t>Wpływ na sektor finansów publicznych</w:t>
            </w:r>
          </w:p>
          <w:p w:rsidR="00AF2E52" w:rsidRPr="00B32463" w:rsidRDefault="002E3AC6" w:rsidP="00453B40">
            <w:pPr>
              <w:spacing w:line="240" w:lineRule="auto"/>
              <w:jc w:val="both"/>
              <w:rPr>
                <w:rFonts w:ascii="Times New Roman" w:hAnsi="Times New Roman"/>
              </w:rPr>
            </w:pPr>
            <w:r w:rsidRPr="00B32463">
              <w:rPr>
                <w:rFonts w:ascii="Times New Roman" w:hAnsi="Times New Roman"/>
              </w:rPr>
              <w:t xml:space="preserve">Zakłada się, iż zmiana systemu kosztów egzekucyjnych nieznacznie wpłynie na zwiększenie dochodów budżetu państwa i jednostek samorządu terytorialnego z tytułu kosztów egzekucyjnych. </w:t>
            </w:r>
          </w:p>
          <w:p w:rsidR="006B32AA" w:rsidRPr="00B32463" w:rsidRDefault="006B32AA" w:rsidP="00453B40">
            <w:pPr>
              <w:spacing w:line="240" w:lineRule="auto"/>
              <w:jc w:val="both"/>
              <w:rPr>
                <w:rFonts w:ascii="Times New Roman" w:hAnsi="Times New Roman"/>
              </w:rPr>
            </w:pPr>
            <w:r w:rsidRPr="00B32463">
              <w:rPr>
                <w:rFonts w:ascii="Times New Roman" w:hAnsi="Times New Roman"/>
              </w:rPr>
              <w:t xml:space="preserve">Podstawę do wyliczenia skutków finansowych wejścia w życie projektowanych przepisów stanowiły </w:t>
            </w:r>
            <w:r w:rsidR="00564987" w:rsidRPr="00B32463">
              <w:rPr>
                <w:rFonts w:ascii="Times New Roman" w:hAnsi="Times New Roman"/>
              </w:rPr>
              <w:t xml:space="preserve">roczne </w:t>
            </w:r>
            <w:r w:rsidRPr="00B32463">
              <w:rPr>
                <w:rFonts w:ascii="Times New Roman" w:hAnsi="Times New Roman"/>
              </w:rPr>
              <w:t>dane o administracyjnych postępowaniach egzekucyjnych</w:t>
            </w:r>
            <w:r w:rsidR="00564987" w:rsidRPr="00B32463">
              <w:rPr>
                <w:rFonts w:ascii="Times New Roman" w:hAnsi="Times New Roman"/>
              </w:rPr>
              <w:t xml:space="preserve"> (oszacowane na podstawie danych z lat 2015-2016),</w:t>
            </w:r>
            <w:r w:rsidRPr="00B32463">
              <w:rPr>
                <w:rFonts w:ascii="Times New Roman" w:hAnsi="Times New Roman"/>
              </w:rPr>
              <w:t xml:space="preserve"> przedstawione przez Ministerstwo Finansów, naczelników urzędów skarbowych</w:t>
            </w:r>
            <w:r w:rsidR="00D31E4A">
              <w:rPr>
                <w:rFonts w:ascii="Times New Roman" w:hAnsi="Times New Roman"/>
              </w:rPr>
              <w:t>, ZUS</w:t>
            </w:r>
            <w:r w:rsidRPr="00B32463">
              <w:rPr>
                <w:rFonts w:ascii="Times New Roman" w:hAnsi="Times New Roman"/>
              </w:rPr>
              <w:t xml:space="preserve"> oraz gminne organy egzekucyjne.</w:t>
            </w:r>
          </w:p>
          <w:p w:rsidR="00926C61" w:rsidRPr="00B32463" w:rsidRDefault="006B32AA" w:rsidP="00453B40">
            <w:pPr>
              <w:spacing w:line="240" w:lineRule="auto"/>
              <w:jc w:val="both"/>
              <w:rPr>
                <w:rFonts w:ascii="Times New Roman" w:hAnsi="Times New Roman"/>
              </w:rPr>
            </w:pPr>
            <w:r w:rsidRPr="00B32463">
              <w:rPr>
                <w:rFonts w:ascii="Times New Roman" w:hAnsi="Times New Roman"/>
              </w:rPr>
              <w:t>Przy ocenie wpływu projektowanej regulacji na dochody zarówno budżetu państwa</w:t>
            </w:r>
            <w:r w:rsidR="00D31E4A">
              <w:rPr>
                <w:rFonts w:ascii="Times New Roman" w:hAnsi="Times New Roman"/>
              </w:rPr>
              <w:t xml:space="preserve">, ZUS </w:t>
            </w:r>
            <w:r w:rsidRPr="00B32463">
              <w:rPr>
                <w:rFonts w:ascii="Times New Roman" w:hAnsi="Times New Roman"/>
              </w:rPr>
              <w:t xml:space="preserve">jak </w:t>
            </w:r>
            <w:r w:rsidRPr="00B32463">
              <w:rPr>
                <w:rFonts w:ascii="Times New Roman" w:hAnsi="Times New Roman"/>
              </w:rPr>
              <w:lastRenderedPageBreak/>
              <w:t xml:space="preserve">i jednostek samorządu terytorialnego brano pod </w:t>
            </w:r>
            <w:r w:rsidR="00926C61" w:rsidRPr="00B32463">
              <w:rPr>
                <w:rFonts w:ascii="Times New Roman" w:hAnsi="Times New Roman"/>
              </w:rPr>
              <w:t>uwagę głównie:</w:t>
            </w:r>
          </w:p>
          <w:p w:rsidR="00926C61" w:rsidRPr="00B32463" w:rsidRDefault="00926C61" w:rsidP="00926C61">
            <w:pPr>
              <w:spacing w:line="240" w:lineRule="auto"/>
              <w:ind w:left="211" w:hanging="211"/>
              <w:jc w:val="both"/>
              <w:rPr>
                <w:rFonts w:ascii="Times New Roman" w:hAnsi="Times New Roman"/>
              </w:rPr>
            </w:pPr>
            <w:r w:rsidRPr="00B32463">
              <w:rPr>
                <w:rFonts w:ascii="Times New Roman" w:hAnsi="Times New Roman"/>
              </w:rPr>
              <w:t xml:space="preserve">1) </w:t>
            </w:r>
            <w:r w:rsidR="006B32AA" w:rsidRPr="00B32463">
              <w:rPr>
                <w:rFonts w:ascii="Times New Roman" w:hAnsi="Times New Roman"/>
              </w:rPr>
              <w:t xml:space="preserve">dochody uzyskiwane obecnie z tytułu kosztów egzekucyjnych, </w:t>
            </w:r>
            <w:r w:rsidRPr="00B32463">
              <w:rPr>
                <w:rFonts w:ascii="Times New Roman" w:hAnsi="Times New Roman"/>
              </w:rPr>
              <w:t>w tym wysokość dochodów uzyskiwanych z opłat za czynności egzekucyjne, opłaty manipulacyjnej i wydatków egzekucyjnych</w:t>
            </w:r>
            <w:r w:rsidR="00D31E4A">
              <w:rPr>
                <w:rFonts w:ascii="Times New Roman" w:hAnsi="Times New Roman"/>
              </w:rPr>
              <w:t>,</w:t>
            </w:r>
          </w:p>
          <w:p w:rsidR="00926C61" w:rsidRPr="00B32463" w:rsidRDefault="00926C61" w:rsidP="00926C61">
            <w:pPr>
              <w:spacing w:line="240" w:lineRule="auto"/>
              <w:ind w:left="211" w:hanging="211"/>
              <w:jc w:val="both"/>
              <w:rPr>
                <w:rFonts w:ascii="Times New Roman" w:hAnsi="Times New Roman"/>
              </w:rPr>
            </w:pPr>
            <w:r w:rsidRPr="00B32463">
              <w:rPr>
                <w:rFonts w:ascii="Times New Roman" w:hAnsi="Times New Roman"/>
              </w:rPr>
              <w:t xml:space="preserve">2) </w:t>
            </w:r>
            <w:r w:rsidR="006B32AA" w:rsidRPr="00B32463">
              <w:rPr>
                <w:rFonts w:ascii="Times New Roman" w:hAnsi="Times New Roman"/>
              </w:rPr>
              <w:t xml:space="preserve">wysokość należności </w:t>
            </w:r>
            <w:r w:rsidR="00276F0B">
              <w:rPr>
                <w:rFonts w:ascii="Times New Roman" w:hAnsi="Times New Roman"/>
              </w:rPr>
              <w:t xml:space="preserve">egzekwowanych w </w:t>
            </w:r>
            <w:r w:rsidR="006B32AA" w:rsidRPr="00B32463">
              <w:rPr>
                <w:rFonts w:ascii="Times New Roman" w:hAnsi="Times New Roman"/>
              </w:rPr>
              <w:t>postępowania</w:t>
            </w:r>
            <w:r w:rsidR="00276F0B">
              <w:rPr>
                <w:rFonts w:ascii="Times New Roman" w:hAnsi="Times New Roman"/>
              </w:rPr>
              <w:t>ch</w:t>
            </w:r>
            <w:r w:rsidR="006B32AA" w:rsidRPr="00B32463">
              <w:rPr>
                <w:rFonts w:ascii="Times New Roman" w:hAnsi="Times New Roman"/>
              </w:rPr>
              <w:t xml:space="preserve"> egzekucyjny</w:t>
            </w:r>
            <w:r w:rsidR="00276F0B">
              <w:rPr>
                <w:rFonts w:ascii="Times New Roman" w:hAnsi="Times New Roman"/>
              </w:rPr>
              <w:t>ch</w:t>
            </w:r>
            <w:r w:rsidR="006B32AA" w:rsidRPr="00B32463">
              <w:rPr>
                <w:rFonts w:ascii="Times New Roman" w:hAnsi="Times New Roman"/>
              </w:rPr>
              <w:t xml:space="preserve">, </w:t>
            </w:r>
          </w:p>
          <w:p w:rsidR="00926C61" w:rsidRPr="00B32463" w:rsidRDefault="00926C61" w:rsidP="00926C61">
            <w:pPr>
              <w:spacing w:line="240" w:lineRule="auto"/>
              <w:ind w:left="211" w:hanging="211"/>
              <w:jc w:val="both"/>
              <w:rPr>
                <w:rFonts w:ascii="Times New Roman" w:hAnsi="Times New Roman"/>
              </w:rPr>
            </w:pPr>
            <w:r w:rsidRPr="00B32463">
              <w:rPr>
                <w:rFonts w:ascii="Times New Roman" w:hAnsi="Times New Roman"/>
              </w:rPr>
              <w:t xml:space="preserve">3) </w:t>
            </w:r>
            <w:r w:rsidR="006B32AA" w:rsidRPr="00B32463">
              <w:rPr>
                <w:rFonts w:ascii="Times New Roman" w:hAnsi="Times New Roman"/>
              </w:rPr>
              <w:t xml:space="preserve">liczbę tytułów wykonawczych, </w:t>
            </w:r>
          </w:p>
          <w:p w:rsidR="00926C61" w:rsidRPr="00B32463" w:rsidRDefault="00926C61" w:rsidP="00926C61">
            <w:pPr>
              <w:spacing w:line="240" w:lineRule="auto"/>
              <w:ind w:left="211" w:hanging="211"/>
              <w:jc w:val="both"/>
              <w:rPr>
                <w:rFonts w:ascii="Times New Roman" w:hAnsi="Times New Roman"/>
              </w:rPr>
            </w:pPr>
            <w:r w:rsidRPr="00B32463">
              <w:rPr>
                <w:rFonts w:ascii="Times New Roman" w:hAnsi="Times New Roman"/>
              </w:rPr>
              <w:t xml:space="preserve">4) </w:t>
            </w:r>
            <w:r w:rsidR="006B32AA" w:rsidRPr="00B32463">
              <w:rPr>
                <w:rFonts w:ascii="Times New Roman" w:hAnsi="Times New Roman"/>
              </w:rPr>
              <w:t xml:space="preserve">wysokość należności wyegzekwowanych w toku egzekucji, </w:t>
            </w:r>
          </w:p>
          <w:p w:rsidR="00926C61" w:rsidRPr="00B32463" w:rsidRDefault="00926C61" w:rsidP="00926C61">
            <w:pPr>
              <w:spacing w:line="240" w:lineRule="auto"/>
              <w:ind w:left="211" w:hanging="211"/>
              <w:jc w:val="both"/>
              <w:rPr>
                <w:rFonts w:ascii="Times New Roman" w:hAnsi="Times New Roman"/>
              </w:rPr>
            </w:pPr>
            <w:r w:rsidRPr="00B32463">
              <w:rPr>
                <w:rFonts w:ascii="Times New Roman" w:hAnsi="Times New Roman"/>
              </w:rPr>
              <w:t xml:space="preserve">5) </w:t>
            </w:r>
            <w:r w:rsidR="006B32AA" w:rsidRPr="00B32463">
              <w:rPr>
                <w:rFonts w:ascii="Times New Roman" w:hAnsi="Times New Roman"/>
              </w:rPr>
              <w:t xml:space="preserve">wysokość </w:t>
            </w:r>
            <w:r w:rsidR="00276F0B">
              <w:rPr>
                <w:rFonts w:ascii="Times New Roman" w:hAnsi="Times New Roman"/>
              </w:rPr>
              <w:t xml:space="preserve">dobrowolnych </w:t>
            </w:r>
            <w:r w:rsidR="006B32AA" w:rsidRPr="00B32463">
              <w:rPr>
                <w:rFonts w:ascii="Times New Roman" w:hAnsi="Times New Roman"/>
              </w:rPr>
              <w:t>wpłat zobowiązanego (zarówno do wierzyciela, jak i do organu egzekucyjnego)</w:t>
            </w:r>
            <w:r w:rsidRPr="00B32463">
              <w:rPr>
                <w:rFonts w:ascii="Times New Roman" w:hAnsi="Times New Roman"/>
              </w:rPr>
              <w:t>,</w:t>
            </w:r>
          </w:p>
          <w:p w:rsidR="006B32AA" w:rsidRPr="00B32463" w:rsidRDefault="00926C61" w:rsidP="00926C61">
            <w:pPr>
              <w:spacing w:line="240" w:lineRule="auto"/>
              <w:ind w:left="211" w:hanging="211"/>
              <w:jc w:val="both"/>
              <w:rPr>
                <w:rFonts w:ascii="Times New Roman" w:hAnsi="Times New Roman"/>
              </w:rPr>
            </w:pPr>
            <w:r w:rsidRPr="00B32463">
              <w:rPr>
                <w:rFonts w:ascii="Times New Roman" w:hAnsi="Times New Roman"/>
              </w:rPr>
              <w:t>6) średni czas trwania postępowania egzekucyjnego.</w:t>
            </w:r>
            <w:r w:rsidR="006B32AA" w:rsidRPr="00B32463">
              <w:rPr>
                <w:rFonts w:ascii="Times New Roman" w:hAnsi="Times New Roman"/>
              </w:rPr>
              <w:t xml:space="preserve"> </w:t>
            </w:r>
          </w:p>
          <w:p w:rsidR="00926C61" w:rsidRDefault="00926C61" w:rsidP="00926C61">
            <w:pPr>
              <w:spacing w:line="240" w:lineRule="auto"/>
              <w:ind w:left="211" w:hanging="211"/>
              <w:jc w:val="both"/>
              <w:rPr>
                <w:rFonts w:ascii="Times New Roman" w:hAnsi="Times New Roman"/>
              </w:rPr>
            </w:pPr>
          </w:p>
          <w:p w:rsidR="00926C61" w:rsidRPr="00B32463" w:rsidRDefault="001213CC" w:rsidP="00926C61">
            <w:pPr>
              <w:spacing w:line="240" w:lineRule="auto"/>
              <w:ind w:left="211" w:hanging="211"/>
              <w:jc w:val="both"/>
              <w:rPr>
                <w:rFonts w:ascii="Times New Roman" w:hAnsi="Times New Roman"/>
                <w:b/>
                <w:u w:val="single"/>
              </w:rPr>
            </w:pPr>
            <w:r w:rsidRPr="00B32463">
              <w:rPr>
                <w:rFonts w:ascii="Times New Roman" w:hAnsi="Times New Roman"/>
                <w:b/>
                <w:u w:val="single"/>
              </w:rPr>
              <w:t xml:space="preserve">III. </w:t>
            </w:r>
            <w:r w:rsidR="00926C61" w:rsidRPr="00B32463">
              <w:rPr>
                <w:rFonts w:ascii="Times New Roman" w:hAnsi="Times New Roman"/>
                <w:b/>
                <w:u w:val="single"/>
              </w:rPr>
              <w:t>Budżet państwa</w:t>
            </w:r>
          </w:p>
          <w:p w:rsidR="00926C61" w:rsidRPr="00B32463" w:rsidRDefault="00926C61" w:rsidP="00926C61">
            <w:pPr>
              <w:spacing w:line="240" w:lineRule="auto"/>
              <w:jc w:val="both"/>
              <w:rPr>
                <w:rFonts w:ascii="Times New Roman" w:hAnsi="Times New Roman"/>
              </w:rPr>
            </w:pPr>
            <w:r w:rsidRPr="00B32463">
              <w:rPr>
                <w:rFonts w:ascii="Times New Roman" w:hAnsi="Times New Roman"/>
                <w:b/>
              </w:rPr>
              <w:t>1)</w:t>
            </w:r>
            <w:r w:rsidRPr="00B32463">
              <w:rPr>
                <w:rFonts w:ascii="Times New Roman" w:hAnsi="Times New Roman"/>
              </w:rPr>
              <w:t xml:space="preserve"> </w:t>
            </w:r>
            <w:r w:rsidRPr="00B32463">
              <w:rPr>
                <w:rFonts w:ascii="Times New Roman" w:hAnsi="Times New Roman"/>
                <w:b/>
              </w:rPr>
              <w:t>Opłata manipulacyjna</w:t>
            </w:r>
            <w:r w:rsidRPr="00B32463">
              <w:rPr>
                <w:rFonts w:ascii="Times New Roman" w:hAnsi="Times New Roman"/>
              </w:rPr>
              <w:t xml:space="preserve"> </w:t>
            </w:r>
          </w:p>
          <w:p w:rsidR="00751A88" w:rsidRPr="00B32463" w:rsidRDefault="00926C61" w:rsidP="00926C61">
            <w:pPr>
              <w:spacing w:line="240" w:lineRule="auto"/>
              <w:jc w:val="both"/>
              <w:rPr>
                <w:rFonts w:ascii="Times New Roman" w:hAnsi="Times New Roman"/>
              </w:rPr>
            </w:pPr>
            <w:r w:rsidRPr="00B32463">
              <w:rPr>
                <w:rFonts w:ascii="Times New Roman" w:hAnsi="Times New Roman"/>
              </w:rPr>
              <w:t xml:space="preserve">Obecnie dochody budżetu państwa uzyskiwane z tytułu opłaty manipulacyjnej wynoszą rocznie ok. 67,16 mln zł. Biorąc pod uwagę, iż </w:t>
            </w:r>
            <w:r w:rsidR="00245EFD" w:rsidRPr="00B32463">
              <w:rPr>
                <w:rFonts w:ascii="Times New Roman" w:hAnsi="Times New Roman"/>
              </w:rPr>
              <w:t xml:space="preserve">suma </w:t>
            </w:r>
            <w:r w:rsidRPr="00B32463">
              <w:rPr>
                <w:rFonts w:ascii="Times New Roman" w:hAnsi="Times New Roman"/>
              </w:rPr>
              <w:t xml:space="preserve">należności </w:t>
            </w:r>
            <w:r w:rsidR="00276F0B">
              <w:rPr>
                <w:rFonts w:ascii="Times New Roman" w:hAnsi="Times New Roman"/>
              </w:rPr>
              <w:t>egzekwowanych w ad</w:t>
            </w:r>
            <w:r w:rsidR="00EA2445" w:rsidRPr="00B32463">
              <w:rPr>
                <w:rFonts w:ascii="Times New Roman" w:hAnsi="Times New Roman"/>
              </w:rPr>
              <w:t>ministracyjny</w:t>
            </w:r>
            <w:r w:rsidR="00276F0B">
              <w:rPr>
                <w:rFonts w:ascii="Times New Roman" w:hAnsi="Times New Roman"/>
              </w:rPr>
              <w:t>ch</w:t>
            </w:r>
            <w:r w:rsidR="00EA2445" w:rsidRPr="00B32463">
              <w:rPr>
                <w:rFonts w:ascii="Times New Roman" w:hAnsi="Times New Roman"/>
              </w:rPr>
              <w:t xml:space="preserve"> postępowania</w:t>
            </w:r>
            <w:r w:rsidR="00276F0B">
              <w:rPr>
                <w:rFonts w:ascii="Times New Roman" w:hAnsi="Times New Roman"/>
              </w:rPr>
              <w:t>ch</w:t>
            </w:r>
            <w:r w:rsidR="00EA2445" w:rsidRPr="00B32463">
              <w:rPr>
                <w:rFonts w:ascii="Times New Roman" w:hAnsi="Times New Roman"/>
              </w:rPr>
              <w:t xml:space="preserve"> egzekucyjny</w:t>
            </w:r>
            <w:r w:rsidR="00276F0B">
              <w:rPr>
                <w:rFonts w:ascii="Times New Roman" w:hAnsi="Times New Roman"/>
              </w:rPr>
              <w:t>ch przez</w:t>
            </w:r>
            <w:r w:rsidR="00EA2445" w:rsidRPr="00B32463">
              <w:rPr>
                <w:rFonts w:ascii="Times New Roman" w:hAnsi="Times New Roman"/>
              </w:rPr>
              <w:t xml:space="preserve"> naczelników urzędów skarbowych </w:t>
            </w:r>
            <w:r w:rsidR="00245EFD" w:rsidRPr="00B32463">
              <w:rPr>
                <w:rFonts w:ascii="Times New Roman" w:hAnsi="Times New Roman"/>
              </w:rPr>
              <w:t>wynosi</w:t>
            </w:r>
            <w:r w:rsidR="00EA2445" w:rsidRPr="00B32463">
              <w:rPr>
                <w:rFonts w:ascii="Times New Roman" w:hAnsi="Times New Roman"/>
              </w:rPr>
              <w:t xml:space="preserve"> ok. </w:t>
            </w:r>
            <w:r w:rsidR="00751A88" w:rsidRPr="00B32463">
              <w:rPr>
                <w:rFonts w:ascii="Times New Roman" w:hAnsi="Times New Roman"/>
              </w:rPr>
              <w:t>20,72</w:t>
            </w:r>
            <w:r w:rsidR="008B239E">
              <w:rPr>
                <w:rFonts w:ascii="Times New Roman" w:hAnsi="Times New Roman"/>
              </w:rPr>
              <w:t> </w:t>
            </w:r>
            <w:r w:rsidR="00751A88" w:rsidRPr="00B32463">
              <w:rPr>
                <w:rFonts w:ascii="Times New Roman" w:hAnsi="Times New Roman"/>
              </w:rPr>
              <w:t>mld</w:t>
            </w:r>
            <w:r w:rsidR="008B239E">
              <w:rPr>
                <w:rFonts w:ascii="Times New Roman" w:hAnsi="Times New Roman"/>
              </w:rPr>
              <w:t> </w:t>
            </w:r>
            <w:r w:rsidR="00751A88" w:rsidRPr="00B32463">
              <w:rPr>
                <w:rFonts w:ascii="Times New Roman" w:hAnsi="Times New Roman"/>
              </w:rPr>
              <w:t>zł</w:t>
            </w:r>
            <w:r w:rsidR="00276F0B">
              <w:rPr>
                <w:rFonts w:ascii="Times New Roman" w:hAnsi="Times New Roman"/>
              </w:rPr>
              <w:t>,</w:t>
            </w:r>
            <w:r w:rsidR="00751A88" w:rsidRPr="00B32463">
              <w:rPr>
                <w:rFonts w:ascii="Times New Roman" w:hAnsi="Times New Roman"/>
              </w:rPr>
              <w:t xml:space="preserve"> wysokość naliczonej opłaty manipulacyj</w:t>
            </w:r>
            <w:r w:rsidR="00245EFD" w:rsidRPr="00B32463">
              <w:rPr>
                <w:rFonts w:ascii="Times New Roman" w:hAnsi="Times New Roman"/>
              </w:rPr>
              <w:t>nej to obecnie ok. 207,2 mln zł (kalkulacja str. 1 tabela 2).</w:t>
            </w:r>
            <w:r w:rsidR="00751A88" w:rsidRPr="00B32463">
              <w:rPr>
                <w:rFonts w:ascii="Times New Roman" w:hAnsi="Times New Roman"/>
              </w:rPr>
              <w:t xml:space="preserve"> Na p</w:t>
            </w:r>
            <w:r w:rsidR="00245EFD" w:rsidRPr="00B32463">
              <w:rPr>
                <w:rFonts w:ascii="Times New Roman" w:hAnsi="Times New Roman"/>
              </w:rPr>
              <w:t xml:space="preserve">odstawie wysokości naliczonej i </w:t>
            </w:r>
            <w:r w:rsidR="00751A88" w:rsidRPr="00B32463">
              <w:rPr>
                <w:rFonts w:ascii="Times New Roman" w:hAnsi="Times New Roman"/>
              </w:rPr>
              <w:t>wyegzekwowanej opłaty manipulacyjnej można obliczyć, że efektywność egzekucji w</w:t>
            </w:r>
            <w:r w:rsidR="00245EFD" w:rsidRPr="00B32463">
              <w:rPr>
                <w:rFonts w:ascii="Times New Roman" w:hAnsi="Times New Roman"/>
              </w:rPr>
              <w:t xml:space="preserve"> </w:t>
            </w:r>
            <w:r w:rsidR="00751A88" w:rsidRPr="00B32463">
              <w:rPr>
                <w:rFonts w:ascii="Times New Roman" w:hAnsi="Times New Roman"/>
              </w:rPr>
              <w:t>odniesieniu do opłaty m</w:t>
            </w:r>
            <w:r w:rsidR="00245EFD" w:rsidRPr="00B32463">
              <w:rPr>
                <w:rFonts w:ascii="Times New Roman" w:hAnsi="Times New Roman"/>
              </w:rPr>
              <w:t>anipulacyjnej wynosi ok. 35,41% (kalkulacja str. 2 tabela 3).</w:t>
            </w:r>
            <w:r w:rsidR="00751A88" w:rsidRPr="00B32463">
              <w:rPr>
                <w:rFonts w:ascii="Times New Roman" w:hAnsi="Times New Roman"/>
              </w:rPr>
              <w:t xml:space="preserve"> </w:t>
            </w:r>
          </w:p>
          <w:p w:rsidR="007615F2" w:rsidRDefault="00751A88" w:rsidP="00926C61">
            <w:pPr>
              <w:spacing w:line="240" w:lineRule="auto"/>
              <w:jc w:val="both"/>
              <w:rPr>
                <w:rFonts w:ascii="Times New Roman" w:hAnsi="Times New Roman"/>
              </w:rPr>
            </w:pPr>
            <w:r w:rsidRPr="00B32463">
              <w:rPr>
                <w:rFonts w:ascii="Times New Roman" w:hAnsi="Times New Roman"/>
              </w:rPr>
              <w:t xml:space="preserve">Szacuje się, iż na skutek </w:t>
            </w:r>
            <w:r w:rsidR="007615F2">
              <w:rPr>
                <w:rFonts w:ascii="Times New Roman" w:hAnsi="Times New Roman"/>
              </w:rPr>
              <w:t xml:space="preserve">wprowadzenia </w:t>
            </w:r>
            <w:r w:rsidRPr="00B32463">
              <w:rPr>
                <w:rFonts w:ascii="Times New Roman" w:hAnsi="Times New Roman"/>
              </w:rPr>
              <w:t xml:space="preserve">możliwości </w:t>
            </w:r>
            <w:r w:rsidR="007615F2">
              <w:rPr>
                <w:rFonts w:ascii="Times New Roman" w:hAnsi="Times New Roman"/>
              </w:rPr>
              <w:t>nie</w:t>
            </w:r>
            <w:r w:rsidRPr="00B32463">
              <w:rPr>
                <w:rFonts w:ascii="Times New Roman" w:hAnsi="Times New Roman"/>
              </w:rPr>
              <w:t>przekazywania do egzekucji tytułów wykonawczych obejmujących niewielkie należności, a także wzrostu wysokości opłaty manipulacyjnej i opłaty egzekucyjnej, liczba tytułów wykonawczych wpływających do organu egzekucyjnego ulegnie zmniejszeniu</w:t>
            </w:r>
            <w:r w:rsidR="00B65785" w:rsidRPr="00B32463">
              <w:rPr>
                <w:rFonts w:ascii="Times New Roman" w:hAnsi="Times New Roman"/>
              </w:rPr>
              <w:t xml:space="preserve">. </w:t>
            </w:r>
            <w:r w:rsidR="0086030B" w:rsidRPr="00B32463">
              <w:rPr>
                <w:rFonts w:ascii="Times New Roman" w:hAnsi="Times New Roman"/>
              </w:rPr>
              <w:t>Przyjmuje się, iż w odniesieniu do niewielkich należności</w:t>
            </w:r>
            <w:r w:rsidR="00E766BA" w:rsidRPr="00B32463">
              <w:rPr>
                <w:rFonts w:ascii="Times New Roman" w:hAnsi="Times New Roman"/>
              </w:rPr>
              <w:t xml:space="preserve"> (do 500 zł)</w:t>
            </w:r>
            <w:r w:rsidR="0086030B" w:rsidRPr="00B32463">
              <w:rPr>
                <w:rFonts w:ascii="Times New Roman" w:hAnsi="Times New Roman"/>
              </w:rPr>
              <w:t xml:space="preserve"> zobowiązani po otrzymaniu upomnienia częściej będą regulować zobowiązania samodzielnie przed wszczęciem postępowania egzekucyjnego</w:t>
            </w:r>
            <w:r w:rsidR="00276F0B">
              <w:rPr>
                <w:rFonts w:ascii="Times New Roman" w:hAnsi="Times New Roman"/>
              </w:rPr>
              <w:t xml:space="preserve"> z uwagi na zagrożenie obciążenia </w:t>
            </w:r>
            <w:r w:rsidR="007615F2">
              <w:rPr>
                <w:rFonts w:ascii="Times New Roman" w:hAnsi="Times New Roman"/>
              </w:rPr>
              <w:t xml:space="preserve">wysokimi </w:t>
            </w:r>
            <w:r w:rsidR="00276F0B">
              <w:rPr>
                <w:rFonts w:ascii="Times New Roman" w:hAnsi="Times New Roman"/>
              </w:rPr>
              <w:t>kosztami egzekucyjnymi</w:t>
            </w:r>
            <w:r w:rsidR="0086030B" w:rsidRPr="00B32463">
              <w:rPr>
                <w:rFonts w:ascii="Times New Roman" w:hAnsi="Times New Roman"/>
              </w:rPr>
              <w:t>. Obecnie ze względu na wysokość kosztów egzekucyjnych zobowiązani do zapłaty niewielkich należności celowo rezygnują z</w:t>
            </w:r>
            <w:r w:rsidR="00E766BA" w:rsidRPr="00B32463">
              <w:rPr>
                <w:rFonts w:ascii="Times New Roman" w:hAnsi="Times New Roman"/>
              </w:rPr>
              <w:t xml:space="preserve"> </w:t>
            </w:r>
            <w:r w:rsidR="0086030B" w:rsidRPr="00B32463">
              <w:rPr>
                <w:rFonts w:ascii="Times New Roman" w:hAnsi="Times New Roman"/>
              </w:rPr>
              <w:t xml:space="preserve">dobrowolnego </w:t>
            </w:r>
            <w:r w:rsidR="00C10932" w:rsidRPr="00B32463">
              <w:rPr>
                <w:rFonts w:ascii="Times New Roman" w:hAnsi="Times New Roman"/>
              </w:rPr>
              <w:t xml:space="preserve">ich </w:t>
            </w:r>
            <w:r w:rsidR="0086030B" w:rsidRPr="00B32463">
              <w:rPr>
                <w:rFonts w:ascii="Times New Roman" w:hAnsi="Times New Roman"/>
              </w:rPr>
              <w:t>regulowania</w:t>
            </w:r>
            <w:r w:rsidR="00276F0B">
              <w:rPr>
                <w:rFonts w:ascii="Times New Roman" w:hAnsi="Times New Roman"/>
              </w:rPr>
              <w:t>,</w:t>
            </w:r>
            <w:r w:rsidR="0086030B" w:rsidRPr="00B32463">
              <w:rPr>
                <w:rFonts w:ascii="Times New Roman" w:hAnsi="Times New Roman"/>
              </w:rPr>
              <w:t xml:space="preserve"> kierując się przekonaniem, iż konieczność poniesienia kosztów egzekucyjnych w</w:t>
            </w:r>
            <w:r w:rsidR="007615F2">
              <w:rPr>
                <w:rFonts w:ascii="Times New Roman" w:hAnsi="Times New Roman"/>
              </w:rPr>
              <w:t> </w:t>
            </w:r>
            <w:r w:rsidR="0086030B" w:rsidRPr="00B32463">
              <w:rPr>
                <w:rFonts w:ascii="Times New Roman" w:hAnsi="Times New Roman"/>
              </w:rPr>
              <w:t xml:space="preserve">kwocie kilkunastu złotych jest </w:t>
            </w:r>
            <w:r w:rsidR="00B65785" w:rsidRPr="00B32463">
              <w:rPr>
                <w:rFonts w:ascii="Times New Roman" w:hAnsi="Times New Roman"/>
              </w:rPr>
              <w:t xml:space="preserve">właściwą </w:t>
            </w:r>
            <w:r w:rsidR="00C10932" w:rsidRPr="00B32463">
              <w:rPr>
                <w:rFonts w:ascii="Times New Roman" w:hAnsi="Times New Roman"/>
              </w:rPr>
              <w:t xml:space="preserve">rekompensatą za brak konieczności podejmowania </w:t>
            </w:r>
            <w:r w:rsidR="00B65785" w:rsidRPr="00B32463">
              <w:rPr>
                <w:rFonts w:ascii="Times New Roman" w:hAnsi="Times New Roman"/>
              </w:rPr>
              <w:t xml:space="preserve">przez nich </w:t>
            </w:r>
            <w:r w:rsidR="00C10932" w:rsidRPr="00B32463">
              <w:rPr>
                <w:rFonts w:ascii="Times New Roman" w:hAnsi="Times New Roman"/>
              </w:rPr>
              <w:t>jakichkolwiek działań</w:t>
            </w:r>
            <w:r w:rsidR="00276F0B">
              <w:rPr>
                <w:rFonts w:ascii="Times New Roman" w:hAnsi="Times New Roman"/>
              </w:rPr>
              <w:t xml:space="preserve"> w celu dobrowolnego wykonania obowiązku</w:t>
            </w:r>
            <w:r w:rsidR="00C10932" w:rsidRPr="00B32463">
              <w:rPr>
                <w:rFonts w:ascii="Times New Roman" w:hAnsi="Times New Roman"/>
              </w:rPr>
              <w:t xml:space="preserve">. </w:t>
            </w:r>
            <w:r w:rsidRPr="00B32463">
              <w:rPr>
                <w:rFonts w:ascii="Times New Roman" w:hAnsi="Times New Roman"/>
              </w:rPr>
              <w:t xml:space="preserve">Zakłada się, że spadek liczby wpływających tytułów wykonawczych będzie różny dla poszczególnych przedziałów należności objętych tytułem wykonawczym </w:t>
            </w:r>
            <w:r w:rsidR="00B65785" w:rsidRPr="00B32463">
              <w:rPr>
                <w:rFonts w:ascii="Times New Roman" w:hAnsi="Times New Roman"/>
              </w:rPr>
              <w:t>(kalkulacja str. 3 tabela 5),</w:t>
            </w:r>
            <w:r w:rsidR="00C10932" w:rsidRPr="00B32463">
              <w:rPr>
                <w:rFonts w:ascii="Times New Roman" w:hAnsi="Times New Roman"/>
              </w:rPr>
              <w:t xml:space="preserve"> natomiast łącznie do naczelników urzędów skarbowych wpłynie ok. 2</w:t>
            </w:r>
            <w:r w:rsidR="008E6BD9">
              <w:rPr>
                <w:rFonts w:ascii="Times New Roman" w:hAnsi="Times New Roman"/>
              </w:rPr>
              <w:t>7,94</w:t>
            </w:r>
            <w:r w:rsidR="00C10932" w:rsidRPr="00B32463">
              <w:rPr>
                <w:rFonts w:ascii="Times New Roman" w:hAnsi="Times New Roman"/>
              </w:rPr>
              <w:t xml:space="preserve">% mniej tytułów wykonawczych. </w:t>
            </w:r>
            <w:r w:rsidR="00E766BA" w:rsidRPr="00B32463">
              <w:rPr>
                <w:rFonts w:ascii="Times New Roman" w:hAnsi="Times New Roman"/>
              </w:rPr>
              <w:t xml:space="preserve">Biorąc pod uwagę powyższe przyjęto, iż po zmianie przepisów </w:t>
            </w:r>
            <w:r w:rsidR="00276F0B" w:rsidRPr="00B32463">
              <w:rPr>
                <w:rFonts w:ascii="Times New Roman" w:hAnsi="Times New Roman"/>
              </w:rPr>
              <w:t>będzie ok. 1</w:t>
            </w:r>
            <w:r w:rsidR="008E6BD9">
              <w:rPr>
                <w:rFonts w:ascii="Times New Roman" w:hAnsi="Times New Roman"/>
              </w:rPr>
              <w:t>2,43</w:t>
            </w:r>
            <w:r w:rsidR="00276F0B" w:rsidRPr="00B32463">
              <w:rPr>
                <w:rFonts w:ascii="Times New Roman" w:hAnsi="Times New Roman"/>
              </w:rPr>
              <w:t xml:space="preserve"> mln </w:t>
            </w:r>
            <w:r w:rsidR="00E766BA" w:rsidRPr="00B32463">
              <w:rPr>
                <w:rFonts w:ascii="Times New Roman" w:hAnsi="Times New Roman"/>
              </w:rPr>
              <w:t xml:space="preserve">tytułów wykonawczych kierowanych przez wierzycieli do naczelników urzędów skarbowych </w:t>
            </w:r>
            <w:r w:rsidR="00B65785" w:rsidRPr="00B32463">
              <w:rPr>
                <w:rFonts w:ascii="Times New Roman" w:hAnsi="Times New Roman"/>
              </w:rPr>
              <w:t>(kalkulacja str. 3 tabela 6)</w:t>
            </w:r>
            <w:r w:rsidR="00E766BA" w:rsidRPr="00B32463">
              <w:rPr>
                <w:rFonts w:ascii="Times New Roman" w:hAnsi="Times New Roman"/>
              </w:rPr>
              <w:t xml:space="preserve">. </w:t>
            </w:r>
            <w:r w:rsidR="008E6BD9">
              <w:rPr>
                <w:rFonts w:ascii="Times New Roman" w:hAnsi="Times New Roman"/>
              </w:rPr>
              <w:t>Z danych Krajowej Administracji Skarbowej wynika, że egzekucja administracyjna nie jest wszczynana w ok. 4% wszystkich postępowań egzekucyjnych. Oznacza to, że egzekucja jest wszczynana na po</w:t>
            </w:r>
            <w:r w:rsidR="00D31E4A">
              <w:rPr>
                <w:rFonts w:ascii="Times New Roman" w:hAnsi="Times New Roman"/>
              </w:rPr>
              <w:t>d</w:t>
            </w:r>
            <w:r w:rsidR="008E6BD9">
              <w:rPr>
                <w:rFonts w:ascii="Times New Roman" w:hAnsi="Times New Roman"/>
              </w:rPr>
              <w:t>stawie 96% tytułów wykonawczych. Zatem opłata manipulacyjna w wysokości 40</w:t>
            </w:r>
            <w:r w:rsidR="00D31E4A">
              <w:rPr>
                <w:rFonts w:ascii="Times New Roman" w:hAnsi="Times New Roman"/>
              </w:rPr>
              <w:t xml:space="preserve"> </w:t>
            </w:r>
            <w:r w:rsidR="008E6BD9">
              <w:rPr>
                <w:rFonts w:ascii="Times New Roman" w:hAnsi="Times New Roman"/>
              </w:rPr>
              <w:t>zł naliczana będzie od ok. 0,5 mln tytułów wykonawczych, a</w:t>
            </w:r>
            <w:r w:rsidR="007615F2">
              <w:rPr>
                <w:rFonts w:ascii="Times New Roman" w:hAnsi="Times New Roman"/>
              </w:rPr>
              <w:t> </w:t>
            </w:r>
            <w:r w:rsidR="008E6BD9">
              <w:rPr>
                <w:rFonts w:ascii="Times New Roman" w:hAnsi="Times New Roman"/>
              </w:rPr>
              <w:t>w</w:t>
            </w:r>
            <w:r w:rsidR="007615F2">
              <w:rPr>
                <w:rFonts w:ascii="Times New Roman" w:hAnsi="Times New Roman"/>
              </w:rPr>
              <w:t> </w:t>
            </w:r>
            <w:r w:rsidR="008E6BD9">
              <w:rPr>
                <w:rFonts w:ascii="Times New Roman" w:hAnsi="Times New Roman"/>
              </w:rPr>
              <w:t xml:space="preserve">wysokości 100 zł od 11,93 mln tytułów wykonawczych. </w:t>
            </w:r>
          </w:p>
          <w:p w:rsidR="00751A88" w:rsidRPr="00B32463" w:rsidRDefault="008E6BD9" w:rsidP="00926C61">
            <w:pPr>
              <w:spacing w:line="240" w:lineRule="auto"/>
              <w:jc w:val="both"/>
              <w:rPr>
                <w:rFonts w:ascii="Times New Roman" w:hAnsi="Times New Roman"/>
              </w:rPr>
            </w:pPr>
            <w:r>
              <w:rPr>
                <w:rFonts w:ascii="Times New Roman" w:hAnsi="Times New Roman"/>
              </w:rPr>
              <w:t>Podsumowując</w:t>
            </w:r>
            <w:r w:rsidR="00D31E4A">
              <w:rPr>
                <w:rFonts w:ascii="Times New Roman" w:hAnsi="Times New Roman"/>
              </w:rPr>
              <w:t>,</w:t>
            </w:r>
            <w:r>
              <w:rPr>
                <w:rFonts w:ascii="Times New Roman" w:hAnsi="Times New Roman"/>
              </w:rPr>
              <w:t xml:space="preserve"> </w:t>
            </w:r>
            <w:r w:rsidR="00E766BA" w:rsidRPr="00B32463">
              <w:rPr>
                <w:rFonts w:ascii="Times New Roman" w:hAnsi="Times New Roman"/>
              </w:rPr>
              <w:t xml:space="preserve">wysokość naliczonej opłaty manipulacyjnej wyniesie </w:t>
            </w:r>
            <w:r>
              <w:rPr>
                <w:rFonts w:ascii="Times New Roman" w:hAnsi="Times New Roman"/>
              </w:rPr>
              <w:t>1 212,71</w:t>
            </w:r>
            <w:r w:rsidR="00E766BA" w:rsidRPr="00B32463">
              <w:rPr>
                <w:rFonts w:ascii="Times New Roman" w:hAnsi="Times New Roman"/>
              </w:rPr>
              <w:t xml:space="preserve"> mln zł</w:t>
            </w:r>
            <w:r w:rsidR="00B65785" w:rsidRPr="00B32463">
              <w:rPr>
                <w:rFonts w:ascii="Times New Roman" w:hAnsi="Times New Roman"/>
              </w:rPr>
              <w:t xml:space="preserve"> (kalkulacja str. 1 tabela 2)</w:t>
            </w:r>
            <w:r w:rsidR="00E766BA" w:rsidRPr="00B32463">
              <w:rPr>
                <w:rFonts w:ascii="Times New Roman" w:hAnsi="Times New Roman"/>
              </w:rPr>
              <w:t>. Ze względu jednak na zmniejszenie wpływu tytułów wykonawczych obejmujących należności do 500 zł przyjmuje się, iż efektywność egzekucji opłaty manipulacyjnej spadnie o ok. 10%</w:t>
            </w:r>
            <w:r w:rsidR="007F3DDC" w:rsidRPr="00B32463">
              <w:rPr>
                <w:rFonts w:ascii="Times New Roman" w:hAnsi="Times New Roman"/>
              </w:rPr>
              <w:t xml:space="preserve"> i wyniesie 2</w:t>
            </w:r>
            <w:r w:rsidR="00740B46">
              <w:rPr>
                <w:rFonts w:ascii="Times New Roman" w:hAnsi="Times New Roman"/>
              </w:rPr>
              <w:t>2</w:t>
            </w:r>
            <w:r w:rsidR="007F3DDC" w:rsidRPr="00B32463">
              <w:rPr>
                <w:rFonts w:ascii="Times New Roman" w:hAnsi="Times New Roman"/>
              </w:rPr>
              <w:t>,41%</w:t>
            </w:r>
            <w:r w:rsidR="00E766BA" w:rsidRPr="00B32463">
              <w:rPr>
                <w:rFonts w:ascii="Times New Roman" w:hAnsi="Times New Roman"/>
              </w:rPr>
              <w:t xml:space="preserve">. Biorąc pod uwagę powyższe przyjmuje się, iż szacowana kwota dochodów z tytułu opłaty manipulacyjnej wyniesie </w:t>
            </w:r>
            <w:r>
              <w:rPr>
                <w:rFonts w:ascii="Times New Roman" w:hAnsi="Times New Roman"/>
              </w:rPr>
              <w:t xml:space="preserve">271,77 </w:t>
            </w:r>
            <w:r w:rsidR="00A67590" w:rsidRPr="00B32463">
              <w:rPr>
                <w:rFonts w:ascii="Times New Roman" w:hAnsi="Times New Roman"/>
              </w:rPr>
              <w:t>mln zł</w:t>
            </w:r>
            <w:r w:rsidR="00B65785" w:rsidRPr="00B32463">
              <w:rPr>
                <w:rFonts w:ascii="Times New Roman" w:hAnsi="Times New Roman"/>
              </w:rPr>
              <w:t xml:space="preserve"> (kalkulacja str. 2 tabela 3)</w:t>
            </w:r>
            <w:r w:rsidR="00276F0B">
              <w:rPr>
                <w:rFonts w:ascii="Times New Roman" w:hAnsi="Times New Roman"/>
              </w:rPr>
              <w:t>, c</w:t>
            </w:r>
            <w:r w:rsidR="00A67590" w:rsidRPr="00B32463">
              <w:rPr>
                <w:rFonts w:ascii="Times New Roman" w:hAnsi="Times New Roman"/>
              </w:rPr>
              <w:t xml:space="preserve">o oznacza wzrost dochodów budżetu państwa z tego tytułu o ok. </w:t>
            </w:r>
            <w:r>
              <w:rPr>
                <w:rFonts w:ascii="Times New Roman" w:hAnsi="Times New Roman"/>
              </w:rPr>
              <w:t>204,61</w:t>
            </w:r>
            <w:r w:rsidR="00A67590" w:rsidRPr="00B32463">
              <w:rPr>
                <w:rFonts w:ascii="Times New Roman" w:hAnsi="Times New Roman"/>
              </w:rPr>
              <w:t xml:space="preserve"> mln zł</w:t>
            </w:r>
            <w:r w:rsidR="00B65785" w:rsidRPr="00B32463">
              <w:rPr>
                <w:rFonts w:ascii="Times New Roman" w:hAnsi="Times New Roman"/>
              </w:rPr>
              <w:t xml:space="preserve"> (kalkulacja str. 2 tabela 3)</w:t>
            </w:r>
            <w:r w:rsidR="00A67590" w:rsidRPr="00B32463">
              <w:rPr>
                <w:rFonts w:ascii="Times New Roman" w:hAnsi="Times New Roman"/>
              </w:rPr>
              <w:t xml:space="preserve">. </w:t>
            </w:r>
          </w:p>
          <w:p w:rsidR="00D31E4A" w:rsidRDefault="00D31E4A" w:rsidP="00926C61">
            <w:pPr>
              <w:spacing w:line="240" w:lineRule="auto"/>
              <w:jc w:val="both"/>
              <w:rPr>
                <w:rFonts w:ascii="Times New Roman" w:hAnsi="Times New Roman"/>
                <w:b/>
              </w:rPr>
            </w:pPr>
          </w:p>
          <w:p w:rsidR="00A67590" w:rsidRPr="00B32463" w:rsidRDefault="00A67590" w:rsidP="00926C61">
            <w:pPr>
              <w:spacing w:line="240" w:lineRule="auto"/>
              <w:jc w:val="both"/>
              <w:rPr>
                <w:rFonts w:ascii="Times New Roman" w:hAnsi="Times New Roman"/>
              </w:rPr>
            </w:pPr>
            <w:r w:rsidRPr="00B32463">
              <w:rPr>
                <w:rFonts w:ascii="Times New Roman" w:hAnsi="Times New Roman"/>
                <w:b/>
              </w:rPr>
              <w:t>2) Opłata egzekucyjna</w:t>
            </w:r>
          </w:p>
          <w:p w:rsidR="00732AFB" w:rsidRPr="00B32463" w:rsidRDefault="00732AFB" w:rsidP="00732AFB">
            <w:pPr>
              <w:spacing w:line="240" w:lineRule="auto"/>
              <w:jc w:val="both"/>
              <w:rPr>
                <w:rFonts w:ascii="Times New Roman" w:hAnsi="Times New Roman"/>
              </w:rPr>
            </w:pPr>
            <w:r w:rsidRPr="00B32463">
              <w:rPr>
                <w:rFonts w:ascii="Times New Roman" w:hAnsi="Times New Roman"/>
              </w:rPr>
              <w:t xml:space="preserve">Obecnie dochody budżetu państwa uzyskiwane z tytułu opłat egzekucyjnych wynoszą rocznie ok. 325,77 mln zł (szczegółowe rozbicie dochodów </w:t>
            </w:r>
            <w:r w:rsidR="00A271C2" w:rsidRPr="00B32463">
              <w:rPr>
                <w:rFonts w:ascii="Times New Roman" w:hAnsi="Times New Roman"/>
              </w:rPr>
              <w:t xml:space="preserve">na poszczególne kategorie opłat - </w:t>
            </w:r>
            <w:r w:rsidR="007931D0" w:rsidRPr="00B32463">
              <w:rPr>
                <w:rFonts w:ascii="Times New Roman" w:hAnsi="Times New Roman"/>
              </w:rPr>
              <w:t xml:space="preserve">kalkulacja str. 4 tabela </w:t>
            </w:r>
            <w:r w:rsidR="00B4463F">
              <w:rPr>
                <w:rFonts w:ascii="Times New Roman" w:hAnsi="Times New Roman"/>
              </w:rPr>
              <w:t>9</w:t>
            </w:r>
            <w:r w:rsidRPr="00B32463">
              <w:rPr>
                <w:rFonts w:ascii="Times New Roman" w:hAnsi="Times New Roman"/>
              </w:rPr>
              <w:t xml:space="preserve">). </w:t>
            </w:r>
          </w:p>
          <w:p w:rsidR="00A67590" w:rsidRDefault="00732AFB" w:rsidP="00926C61">
            <w:pPr>
              <w:spacing w:line="240" w:lineRule="auto"/>
              <w:jc w:val="both"/>
              <w:rPr>
                <w:rFonts w:ascii="Times New Roman" w:hAnsi="Times New Roman"/>
              </w:rPr>
            </w:pPr>
            <w:r w:rsidRPr="00B32463">
              <w:rPr>
                <w:rFonts w:ascii="Times New Roman" w:hAnsi="Times New Roman"/>
              </w:rPr>
              <w:t>W związku ze zmianą systemu pobierania opłat egzekucyjnych za podstawę obliczenia opłat wzięto kwoty wyegzekwowane w toku postępowania egzekucyjnego</w:t>
            </w:r>
            <w:r w:rsidR="00932DC0" w:rsidRPr="00B32463">
              <w:rPr>
                <w:rFonts w:ascii="Times New Roman" w:hAnsi="Times New Roman"/>
              </w:rPr>
              <w:t xml:space="preserve"> (5 494,47 mln zł)</w:t>
            </w:r>
            <w:r w:rsidRPr="00B32463">
              <w:rPr>
                <w:rFonts w:ascii="Times New Roman" w:hAnsi="Times New Roman"/>
              </w:rPr>
              <w:t xml:space="preserve"> oraz dobrowolnie wpłacone w czasie jego trwania zarówno do wierzyci</w:t>
            </w:r>
            <w:r w:rsidR="00932DC0" w:rsidRPr="00B32463">
              <w:rPr>
                <w:rFonts w:ascii="Times New Roman" w:hAnsi="Times New Roman"/>
              </w:rPr>
              <w:t>ela</w:t>
            </w:r>
            <w:r w:rsidR="00764E65">
              <w:rPr>
                <w:rFonts w:ascii="Times New Roman" w:hAnsi="Times New Roman"/>
              </w:rPr>
              <w:t>,</w:t>
            </w:r>
            <w:r w:rsidR="00932DC0" w:rsidRPr="00B32463">
              <w:rPr>
                <w:rFonts w:ascii="Times New Roman" w:hAnsi="Times New Roman"/>
              </w:rPr>
              <w:t xml:space="preserve"> jak i organu egzekucyjnego (2 238,15 mln zł). Ponadto na podstawie liczby tytułów wykonawczych obejmujących należności w kwocie wyższej niż 400 tys. zł, </w:t>
            </w:r>
            <w:r w:rsidR="00357BAA" w:rsidRPr="00B32463">
              <w:rPr>
                <w:rFonts w:ascii="Times New Roman" w:hAnsi="Times New Roman"/>
              </w:rPr>
              <w:t xml:space="preserve">wysokość </w:t>
            </w:r>
            <w:r w:rsidR="00932DC0" w:rsidRPr="00B32463">
              <w:rPr>
                <w:rFonts w:ascii="Times New Roman" w:hAnsi="Times New Roman"/>
              </w:rPr>
              <w:t xml:space="preserve">należności objętej tymi tytułami oraz sumy wszystkich należności </w:t>
            </w:r>
            <w:r w:rsidR="00764E65">
              <w:rPr>
                <w:rFonts w:ascii="Times New Roman" w:hAnsi="Times New Roman"/>
              </w:rPr>
              <w:t>egzekwowanych w postępowaniach</w:t>
            </w:r>
            <w:r w:rsidR="00932DC0" w:rsidRPr="00B32463">
              <w:rPr>
                <w:rFonts w:ascii="Times New Roman" w:hAnsi="Times New Roman"/>
              </w:rPr>
              <w:t xml:space="preserve"> egzekucyjny</w:t>
            </w:r>
            <w:r w:rsidR="00764E65">
              <w:rPr>
                <w:rFonts w:ascii="Times New Roman" w:hAnsi="Times New Roman"/>
              </w:rPr>
              <w:t>ch</w:t>
            </w:r>
            <w:r w:rsidR="00932DC0" w:rsidRPr="00B32463">
              <w:rPr>
                <w:rFonts w:ascii="Times New Roman" w:hAnsi="Times New Roman"/>
              </w:rPr>
              <w:t xml:space="preserve"> oszacowano wysokość należności</w:t>
            </w:r>
            <w:r w:rsidR="006D7DD8">
              <w:rPr>
                <w:rFonts w:ascii="Times New Roman" w:hAnsi="Times New Roman"/>
              </w:rPr>
              <w:t>,</w:t>
            </w:r>
            <w:r w:rsidR="00932DC0" w:rsidRPr="00B32463">
              <w:rPr>
                <w:rFonts w:ascii="Times New Roman" w:hAnsi="Times New Roman"/>
              </w:rPr>
              <w:t xml:space="preserve"> od których nie będzie naliczana opłata egzekucyjna</w:t>
            </w:r>
            <w:r w:rsidR="009E0173">
              <w:rPr>
                <w:rFonts w:ascii="Times New Roman" w:hAnsi="Times New Roman"/>
              </w:rPr>
              <w:t xml:space="preserve"> -</w:t>
            </w:r>
            <w:r w:rsidR="00357BAA" w:rsidRPr="00B32463">
              <w:rPr>
                <w:rFonts w:ascii="Times New Roman" w:hAnsi="Times New Roman"/>
              </w:rPr>
              <w:t xml:space="preserve"> 4 899,48 mln zł</w:t>
            </w:r>
            <w:r w:rsidR="00764E65">
              <w:rPr>
                <w:rFonts w:ascii="Times New Roman" w:hAnsi="Times New Roman"/>
              </w:rPr>
              <w:t xml:space="preserve">, tj. </w:t>
            </w:r>
            <w:r w:rsidR="00357BAA" w:rsidRPr="00B32463">
              <w:rPr>
                <w:rFonts w:ascii="Times New Roman" w:hAnsi="Times New Roman"/>
              </w:rPr>
              <w:t>24% należności</w:t>
            </w:r>
            <w:r w:rsidR="00764E65">
              <w:rPr>
                <w:rFonts w:ascii="Times New Roman" w:hAnsi="Times New Roman"/>
              </w:rPr>
              <w:t xml:space="preserve"> egzekwowanych w</w:t>
            </w:r>
            <w:r w:rsidR="00357BAA" w:rsidRPr="00B32463">
              <w:rPr>
                <w:rFonts w:ascii="Times New Roman" w:hAnsi="Times New Roman"/>
              </w:rPr>
              <w:t xml:space="preserve"> postępowania</w:t>
            </w:r>
            <w:r w:rsidR="00764E65">
              <w:rPr>
                <w:rFonts w:ascii="Times New Roman" w:hAnsi="Times New Roman"/>
              </w:rPr>
              <w:t>ch</w:t>
            </w:r>
            <w:r w:rsidR="00357BAA" w:rsidRPr="00B32463">
              <w:rPr>
                <w:rFonts w:ascii="Times New Roman" w:hAnsi="Times New Roman"/>
              </w:rPr>
              <w:t xml:space="preserve"> egzekucyjny</w:t>
            </w:r>
            <w:r w:rsidR="00764E65">
              <w:rPr>
                <w:rFonts w:ascii="Times New Roman" w:hAnsi="Times New Roman"/>
              </w:rPr>
              <w:t xml:space="preserve">ch </w:t>
            </w:r>
            <w:r w:rsidR="00764E65">
              <w:rPr>
                <w:rFonts w:ascii="Times New Roman" w:hAnsi="Times New Roman"/>
              </w:rPr>
              <w:lastRenderedPageBreak/>
              <w:t>(</w:t>
            </w:r>
            <w:r w:rsidR="00153171" w:rsidRPr="00B32463">
              <w:rPr>
                <w:rFonts w:ascii="Times New Roman" w:hAnsi="Times New Roman"/>
              </w:rPr>
              <w:t xml:space="preserve">kalkulacja str. 4 tabela </w:t>
            </w:r>
            <w:r w:rsidR="00B4463F">
              <w:rPr>
                <w:rFonts w:ascii="Times New Roman" w:hAnsi="Times New Roman"/>
              </w:rPr>
              <w:t>10</w:t>
            </w:r>
            <w:r w:rsidR="00764E65">
              <w:rPr>
                <w:rFonts w:ascii="Times New Roman" w:hAnsi="Times New Roman"/>
              </w:rPr>
              <w:t>)</w:t>
            </w:r>
            <w:r w:rsidR="00357BAA" w:rsidRPr="00B32463">
              <w:rPr>
                <w:rFonts w:ascii="Times New Roman" w:hAnsi="Times New Roman"/>
              </w:rPr>
              <w:t xml:space="preserve">. </w:t>
            </w:r>
            <w:r w:rsidR="00932DC0" w:rsidRPr="00B32463">
              <w:rPr>
                <w:rFonts w:ascii="Times New Roman" w:hAnsi="Times New Roman"/>
              </w:rPr>
              <w:t>Biorąc pod uwagę górną granic</w:t>
            </w:r>
            <w:r w:rsidR="00764E65">
              <w:rPr>
                <w:rFonts w:ascii="Times New Roman" w:hAnsi="Times New Roman"/>
              </w:rPr>
              <w:t>ę</w:t>
            </w:r>
            <w:r w:rsidR="00932DC0" w:rsidRPr="00B32463">
              <w:rPr>
                <w:rFonts w:ascii="Times New Roman" w:hAnsi="Times New Roman"/>
              </w:rPr>
              <w:t xml:space="preserve"> opłaty egzekucyjnej tj. 40 tys. zł w</w:t>
            </w:r>
            <w:r w:rsidR="006D7DD8">
              <w:rPr>
                <w:rFonts w:ascii="Times New Roman" w:hAnsi="Times New Roman"/>
              </w:rPr>
              <w:t> </w:t>
            </w:r>
            <w:r w:rsidR="00932DC0" w:rsidRPr="00B32463">
              <w:rPr>
                <w:rFonts w:ascii="Times New Roman" w:hAnsi="Times New Roman"/>
              </w:rPr>
              <w:t>przypadku wyegzekwowania należności</w:t>
            </w:r>
            <w:r w:rsidR="00EF21C5" w:rsidRPr="00B32463">
              <w:rPr>
                <w:rFonts w:ascii="Times New Roman" w:hAnsi="Times New Roman"/>
              </w:rPr>
              <w:t xml:space="preserve"> w </w:t>
            </w:r>
            <w:r w:rsidR="005B62B0" w:rsidRPr="00B32463">
              <w:rPr>
                <w:rFonts w:ascii="Times New Roman" w:hAnsi="Times New Roman"/>
              </w:rPr>
              <w:t>kwocie</w:t>
            </w:r>
            <w:r w:rsidR="00764E65">
              <w:rPr>
                <w:rFonts w:ascii="Times New Roman" w:hAnsi="Times New Roman"/>
              </w:rPr>
              <w:t xml:space="preserve"> wyższej niż 400 tys. zł </w:t>
            </w:r>
            <w:r w:rsidR="00932DC0" w:rsidRPr="00B32463">
              <w:rPr>
                <w:rFonts w:ascii="Times New Roman" w:hAnsi="Times New Roman"/>
              </w:rPr>
              <w:t xml:space="preserve">opłata egzekucyjna nie będzie naliczana od </w:t>
            </w:r>
            <w:r w:rsidR="005B62B0" w:rsidRPr="00B32463">
              <w:rPr>
                <w:rFonts w:ascii="Times New Roman" w:hAnsi="Times New Roman"/>
              </w:rPr>
              <w:t>kwoty przekraczającej wysokość</w:t>
            </w:r>
            <w:r w:rsidR="00932DC0" w:rsidRPr="00B32463">
              <w:rPr>
                <w:rFonts w:ascii="Times New Roman" w:hAnsi="Times New Roman"/>
              </w:rPr>
              <w:t xml:space="preserve"> 400 tys. zł na skutek osiągnięcia górnej granicy opłaty tj. 40 tys. zł</w:t>
            </w:r>
            <w:r w:rsidR="00764E65">
              <w:rPr>
                <w:rFonts w:ascii="Times New Roman" w:hAnsi="Times New Roman"/>
              </w:rPr>
              <w:t>. Przykładowo</w:t>
            </w:r>
            <w:r w:rsidR="005B62B0" w:rsidRPr="00B32463">
              <w:rPr>
                <w:rFonts w:ascii="Times New Roman" w:hAnsi="Times New Roman"/>
              </w:rPr>
              <w:t xml:space="preserve"> wyegzekwowano 450 tys. </w:t>
            </w:r>
            <w:r w:rsidR="0015588A">
              <w:rPr>
                <w:rFonts w:ascii="Times New Roman" w:hAnsi="Times New Roman"/>
              </w:rPr>
              <w:t>z</w:t>
            </w:r>
            <w:r w:rsidR="0015588A" w:rsidRPr="00B32463">
              <w:rPr>
                <w:rFonts w:ascii="Times New Roman" w:hAnsi="Times New Roman"/>
              </w:rPr>
              <w:t>ł</w:t>
            </w:r>
            <w:r w:rsidR="0015588A">
              <w:rPr>
                <w:rFonts w:ascii="Times New Roman" w:hAnsi="Times New Roman"/>
              </w:rPr>
              <w:t>:</w:t>
            </w:r>
            <w:r w:rsidR="005B62B0" w:rsidRPr="00B32463">
              <w:rPr>
                <w:rFonts w:ascii="Times New Roman" w:hAnsi="Times New Roman"/>
              </w:rPr>
              <w:t xml:space="preserve"> 10% kwoty wyegzekwowanej to 45 tys. zł, jednak ze względu na przekroczenie górnej granicy opłaty egzekuc</w:t>
            </w:r>
            <w:r w:rsidR="00EF21C5" w:rsidRPr="00B32463">
              <w:rPr>
                <w:rFonts w:ascii="Times New Roman" w:hAnsi="Times New Roman"/>
              </w:rPr>
              <w:t>yjnej</w:t>
            </w:r>
            <w:r w:rsidR="00764E65">
              <w:rPr>
                <w:rFonts w:ascii="Times New Roman" w:hAnsi="Times New Roman"/>
              </w:rPr>
              <w:t>,</w:t>
            </w:r>
            <w:r w:rsidR="00EF21C5" w:rsidRPr="00B32463">
              <w:rPr>
                <w:rFonts w:ascii="Times New Roman" w:hAnsi="Times New Roman"/>
              </w:rPr>
              <w:t xml:space="preserve"> opłata zostanie pobrana w </w:t>
            </w:r>
            <w:r w:rsidR="005B62B0" w:rsidRPr="00B32463">
              <w:rPr>
                <w:rFonts w:ascii="Times New Roman" w:hAnsi="Times New Roman"/>
              </w:rPr>
              <w:t>wysokości 40 tys. zł (tj. od 400 tys. zł</w:t>
            </w:r>
            <w:r w:rsidR="00764E65">
              <w:rPr>
                <w:rFonts w:ascii="Times New Roman" w:hAnsi="Times New Roman"/>
              </w:rPr>
              <w:t>;</w:t>
            </w:r>
            <w:r w:rsidR="005B62B0" w:rsidRPr="00B32463">
              <w:rPr>
                <w:rFonts w:ascii="Times New Roman" w:hAnsi="Times New Roman"/>
              </w:rPr>
              <w:t xml:space="preserve"> </w:t>
            </w:r>
            <w:r w:rsidR="00764E65">
              <w:rPr>
                <w:rFonts w:ascii="Times New Roman" w:hAnsi="Times New Roman"/>
              </w:rPr>
              <w:t xml:space="preserve">nie zostanie natomiast naliczona opłata </w:t>
            </w:r>
            <w:r w:rsidR="005B62B0" w:rsidRPr="00B32463">
              <w:rPr>
                <w:rFonts w:ascii="Times New Roman" w:hAnsi="Times New Roman"/>
              </w:rPr>
              <w:t xml:space="preserve">od </w:t>
            </w:r>
            <w:r w:rsidR="00764E65">
              <w:rPr>
                <w:rFonts w:ascii="Times New Roman" w:hAnsi="Times New Roman"/>
              </w:rPr>
              <w:t>wyegzekwowanych 50 tys.</w:t>
            </w:r>
            <w:r w:rsidR="005B62B0" w:rsidRPr="00B32463">
              <w:rPr>
                <w:rFonts w:ascii="Times New Roman" w:hAnsi="Times New Roman"/>
              </w:rPr>
              <w:t xml:space="preserve">). </w:t>
            </w:r>
            <w:r w:rsidR="00744F70" w:rsidRPr="00B32463">
              <w:rPr>
                <w:rFonts w:ascii="Times New Roman" w:hAnsi="Times New Roman"/>
              </w:rPr>
              <w:t>Na podstawie powyższych danych oszacowano, iż po wejściu w życie nowych przepisów dochody z tytułu opłaty egzekucyjnej wyniosą ok. 504,97</w:t>
            </w:r>
            <w:r w:rsidR="00EF21C5" w:rsidRPr="00B32463">
              <w:rPr>
                <w:rFonts w:ascii="Times New Roman" w:hAnsi="Times New Roman"/>
              </w:rPr>
              <w:t xml:space="preserve"> </w:t>
            </w:r>
            <w:r w:rsidR="00744F70" w:rsidRPr="00B32463">
              <w:rPr>
                <w:rFonts w:ascii="Times New Roman" w:hAnsi="Times New Roman"/>
              </w:rPr>
              <w:t>mln zł</w:t>
            </w:r>
            <w:r w:rsidR="00EF21C5" w:rsidRPr="00B32463">
              <w:rPr>
                <w:rFonts w:ascii="Times New Roman" w:hAnsi="Times New Roman"/>
              </w:rPr>
              <w:t xml:space="preserve"> (kalkulacja str. 5 tabela 1</w:t>
            </w:r>
            <w:r w:rsidR="00B4463F">
              <w:rPr>
                <w:rFonts w:ascii="Times New Roman" w:hAnsi="Times New Roman"/>
              </w:rPr>
              <w:t>1</w:t>
            </w:r>
            <w:r w:rsidR="00EF21C5" w:rsidRPr="00B32463">
              <w:rPr>
                <w:rFonts w:ascii="Times New Roman" w:hAnsi="Times New Roman"/>
              </w:rPr>
              <w:t>)</w:t>
            </w:r>
            <w:r w:rsidR="00744F70" w:rsidRPr="00B32463">
              <w:rPr>
                <w:rFonts w:ascii="Times New Roman" w:hAnsi="Times New Roman"/>
              </w:rPr>
              <w:t xml:space="preserve"> i będą wyższe od obecnych o 179,2 mln</w:t>
            </w:r>
            <w:r w:rsidR="00B4463F">
              <w:rPr>
                <w:rFonts w:ascii="Times New Roman" w:hAnsi="Times New Roman"/>
              </w:rPr>
              <w:t> </w:t>
            </w:r>
            <w:r w:rsidR="00744F70" w:rsidRPr="00B32463">
              <w:rPr>
                <w:rFonts w:ascii="Times New Roman" w:hAnsi="Times New Roman"/>
              </w:rPr>
              <w:t>zł</w:t>
            </w:r>
            <w:r w:rsidR="00EF21C5" w:rsidRPr="00B32463">
              <w:rPr>
                <w:rFonts w:ascii="Times New Roman" w:hAnsi="Times New Roman"/>
              </w:rPr>
              <w:t xml:space="preserve"> (kalkulacja str. 5 tabela 1</w:t>
            </w:r>
            <w:r w:rsidR="00B4463F">
              <w:rPr>
                <w:rFonts w:ascii="Times New Roman" w:hAnsi="Times New Roman"/>
              </w:rPr>
              <w:t>2</w:t>
            </w:r>
            <w:r w:rsidR="00EF21C5" w:rsidRPr="00B32463">
              <w:rPr>
                <w:rFonts w:ascii="Times New Roman" w:hAnsi="Times New Roman"/>
              </w:rPr>
              <w:t>)</w:t>
            </w:r>
            <w:r w:rsidR="00744F70" w:rsidRPr="00B32463">
              <w:rPr>
                <w:rFonts w:ascii="Times New Roman" w:hAnsi="Times New Roman"/>
              </w:rPr>
              <w:t xml:space="preserve">. </w:t>
            </w:r>
          </w:p>
          <w:p w:rsidR="006D7DD8" w:rsidRPr="00B32463" w:rsidRDefault="006D7DD8" w:rsidP="00926C61">
            <w:pPr>
              <w:spacing w:line="240" w:lineRule="auto"/>
              <w:jc w:val="both"/>
              <w:rPr>
                <w:rFonts w:ascii="Times New Roman" w:hAnsi="Times New Roman"/>
              </w:rPr>
            </w:pPr>
          </w:p>
          <w:p w:rsidR="00A20F16" w:rsidRPr="00B32463" w:rsidRDefault="006943B4" w:rsidP="00926C61">
            <w:pPr>
              <w:spacing w:line="240" w:lineRule="auto"/>
              <w:jc w:val="both"/>
              <w:rPr>
                <w:rFonts w:ascii="Times New Roman" w:hAnsi="Times New Roman"/>
              </w:rPr>
            </w:pPr>
            <w:r w:rsidRPr="00B32463">
              <w:rPr>
                <w:rFonts w:ascii="Times New Roman" w:hAnsi="Times New Roman"/>
                <w:b/>
              </w:rPr>
              <w:t>3</w:t>
            </w:r>
            <w:r w:rsidR="00A20F16" w:rsidRPr="00B32463">
              <w:rPr>
                <w:rFonts w:ascii="Times New Roman" w:hAnsi="Times New Roman"/>
                <w:b/>
              </w:rPr>
              <w:t xml:space="preserve">) </w:t>
            </w:r>
            <w:r w:rsidRPr="00B32463">
              <w:rPr>
                <w:rFonts w:ascii="Times New Roman" w:hAnsi="Times New Roman"/>
                <w:b/>
              </w:rPr>
              <w:t>Wydatki egzekucyjne</w:t>
            </w:r>
          </w:p>
          <w:p w:rsidR="00764E65" w:rsidRDefault="00B73FE7" w:rsidP="00926C61">
            <w:pPr>
              <w:spacing w:line="240" w:lineRule="auto"/>
              <w:jc w:val="both"/>
              <w:rPr>
                <w:rFonts w:ascii="Times New Roman" w:hAnsi="Times New Roman"/>
              </w:rPr>
            </w:pPr>
            <w:r w:rsidRPr="00B32463">
              <w:rPr>
                <w:rFonts w:ascii="Times New Roman" w:hAnsi="Times New Roman"/>
              </w:rPr>
              <w:t>Wzrost dochodów budżetu państwa z tytułu uzupełni</w:t>
            </w:r>
            <w:r w:rsidR="00764E65">
              <w:rPr>
                <w:rFonts w:ascii="Times New Roman" w:hAnsi="Times New Roman"/>
              </w:rPr>
              <w:t>enia katalogu wydatków o pozycje</w:t>
            </w:r>
            <w:r w:rsidRPr="00B32463">
              <w:rPr>
                <w:rFonts w:ascii="Times New Roman" w:hAnsi="Times New Roman"/>
              </w:rPr>
              <w:t xml:space="preserve"> dotycząc</w:t>
            </w:r>
            <w:r w:rsidR="00764E65">
              <w:rPr>
                <w:rFonts w:ascii="Times New Roman" w:hAnsi="Times New Roman"/>
              </w:rPr>
              <w:t>e</w:t>
            </w:r>
            <w:r w:rsidRPr="00B32463">
              <w:rPr>
                <w:rFonts w:ascii="Times New Roman" w:hAnsi="Times New Roman"/>
              </w:rPr>
              <w:t xml:space="preserve"> możliwości pokrywania kosztów wysłania korespondencji oszacowano w oparciu o</w:t>
            </w:r>
            <w:r w:rsidR="006B21FB" w:rsidRPr="00B32463">
              <w:rPr>
                <w:rFonts w:ascii="Times New Roman" w:hAnsi="Times New Roman"/>
              </w:rPr>
              <w:t> </w:t>
            </w:r>
            <w:r w:rsidRPr="00B32463">
              <w:rPr>
                <w:rFonts w:ascii="Times New Roman" w:hAnsi="Times New Roman"/>
              </w:rPr>
              <w:t>liczbę dokonywanych zajęć</w:t>
            </w:r>
            <w:r w:rsidR="00920A6D" w:rsidRPr="00B32463">
              <w:rPr>
                <w:rFonts w:ascii="Times New Roman" w:hAnsi="Times New Roman"/>
              </w:rPr>
              <w:t xml:space="preserve"> poszczególnych</w:t>
            </w:r>
            <w:r w:rsidRPr="00B32463">
              <w:rPr>
                <w:rFonts w:ascii="Times New Roman" w:hAnsi="Times New Roman"/>
              </w:rPr>
              <w:t xml:space="preserve"> wierzytelności oraz koszty wysłania korespondencji</w:t>
            </w:r>
            <w:r w:rsidR="00764E65">
              <w:rPr>
                <w:rFonts w:ascii="Times New Roman" w:hAnsi="Times New Roman"/>
              </w:rPr>
              <w:t xml:space="preserve">. Koszt ten wynosi 7,80 zł w ramach wysłania korespondencji </w:t>
            </w:r>
            <w:r w:rsidR="00920A6D" w:rsidRPr="00B32463">
              <w:rPr>
                <w:rFonts w:ascii="Times New Roman" w:hAnsi="Times New Roman"/>
              </w:rPr>
              <w:t>za pośrednictwem operatora pocztowego</w:t>
            </w:r>
            <w:r w:rsidR="00764E65">
              <w:rPr>
                <w:rFonts w:ascii="Times New Roman" w:hAnsi="Times New Roman"/>
              </w:rPr>
              <w:t>, oraz 0,50 zł za pośrednictwem systemu teleinformatycznego</w:t>
            </w:r>
            <w:r w:rsidR="00920A6D" w:rsidRPr="00B32463">
              <w:rPr>
                <w:rFonts w:ascii="Times New Roman" w:hAnsi="Times New Roman"/>
              </w:rPr>
              <w:t xml:space="preserve"> obsługującego zajęcia wierzytelności </w:t>
            </w:r>
            <w:r w:rsidR="006D218B" w:rsidRPr="00B32463">
              <w:rPr>
                <w:rFonts w:ascii="Times New Roman" w:hAnsi="Times New Roman"/>
              </w:rPr>
              <w:t>z rachunku bankowego</w:t>
            </w:r>
            <w:r w:rsidR="00764E65">
              <w:rPr>
                <w:rFonts w:ascii="Times New Roman" w:hAnsi="Times New Roman"/>
              </w:rPr>
              <w:t xml:space="preserve"> (</w:t>
            </w:r>
            <w:r w:rsidR="00715D52" w:rsidRPr="00B32463">
              <w:rPr>
                <w:rFonts w:ascii="Times New Roman" w:hAnsi="Times New Roman"/>
              </w:rPr>
              <w:t>kalkulacja str. 6 tabela 12</w:t>
            </w:r>
            <w:r w:rsidR="00764E65">
              <w:rPr>
                <w:rFonts w:ascii="Times New Roman" w:hAnsi="Times New Roman"/>
              </w:rPr>
              <w:t>)</w:t>
            </w:r>
            <w:r w:rsidR="006D218B" w:rsidRPr="00B32463">
              <w:rPr>
                <w:rFonts w:ascii="Times New Roman" w:hAnsi="Times New Roman"/>
              </w:rPr>
              <w:t>.</w:t>
            </w:r>
            <w:r w:rsidR="00920A6D" w:rsidRPr="00B32463">
              <w:rPr>
                <w:rFonts w:ascii="Times New Roman" w:hAnsi="Times New Roman"/>
              </w:rPr>
              <w:t xml:space="preserve"> </w:t>
            </w:r>
            <w:r w:rsidR="006D218B" w:rsidRPr="00B32463">
              <w:rPr>
                <w:rFonts w:ascii="Times New Roman" w:hAnsi="Times New Roman"/>
              </w:rPr>
              <w:t>Na podstawie powyższych danych zakłada się, że roczny wzrost dochodów budżetu państwa z</w:t>
            </w:r>
            <w:r w:rsidR="00715D52" w:rsidRPr="00B32463">
              <w:rPr>
                <w:rFonts w:ascii="Times New Roman" w:hAnsi="Times New Roman"/>
              </w:rPr>
              <w:t xml:space="preserve"> </w:t>
            </w:r>
            <w:r w:rsidR="006D218B" w:rsidRPr="00B32463">
              <w:rPr>
                <w:rFonts w:ascii="Times New Roman" w:hAnsi="Times New Roman"/>
              </w:rPr>
              <w:t xml:space="preserve">tytułu rozszerzenia katalogu wydatków egzekucyjnych wyniesie ok. </w:t>
            </w:r>
            <w:r w:rsidR="00AB299B">
              <w:rPr>
                <w:rFonts w:ascii="Times New Roman" w:hAnsi="Times New Roman"/>
              </w:rPr>
              <w:t>8</w:t>
            </w:r>
            <w:r w:rsidR="006D218B" w:rsidRPr="00B32463">
              <w:rPr>
                <w:rFonts w:ascii="Times New Roman" w:hAnsi="Times New Roman"/>
              </w:rPr>
              <w:t>,</w:t>
            </w:r>
            <w:r w:rsidR="00AB299B">
              <w:rPr>
                <w:rFonts w:ascii="Times New Roman" w:hAnsi="Times New Roman"/>
              </w:rPr>
              <w:t>55</w:t>
            </w:r>
            <w:r w:rsidR="006D218B" w:rsidRPr="00B32463">
              <w:rPr>
                <w:rFonts w:ascii="Times New Roman" w:hAnsi="Times New Roman"/>
              </w:rPr>
              <w:t xml:space="preserve"> mln zł</w:t>
            </w:r>
            <w:r w:rsidR="006B21FB" w:rsidRPr="00B32463">
              <w:rPr>
                <w:rFonts w:ascii="Times New Roman" w:hAnsi="Times New Roman"/>
              </w:rPr>
              <w:t xml:space="preserve"> (kalkulacja str. </w:t>
            </w:r>
            <w:r w:rsidR="00B4463F">
              <w:rPr>
                <w:rFonts w:ascii="Times New Roman" w:hAnsi="Times New Roman"/>
              </w:rPr>
              <w:t>7</w:t>
            </w:r>
            <w:r w:rsidR="006B21FB" w:rsidRPr="00B32463">
              <w:rPr>
                <w:rFonts w:ascii="Times New Roman" w:hAnsi="Times New Roman"/>
              </w:rPr>
              <w:t xml:space="preserve"> tabela 14)</w:t>
            </w:r>
            <w:r w:rsidR="006D218B" w:rsidRPr="00B32463">
              <w:rPr>
                <w:rFonts w:ascii="Times New Roman" w:hAnsi="Times New Roman"/>
              </w:rPr>
              <w:t xml:space="preserve">. </w:t>
            </w:r>
          </w:p>
          <w:p w:rsidR="00A67590" w:rsidRDefault="000E02D1" w:rsidP="00926C61">
            <w:pPr>
              <w:spacing w:line="240" w:lineRule="auto"/>
              <w:jc w:val="both"/>
              <w:rPr>
                <w:rFonts w:ascii="Times New Roman" w:hAnsi="Times New Roman"/>
              </w:rPr>
            </w:pPr>
            <w:r w:rsidRPr="00B32463">
              <w:rPr>
                <w:rFonts w:ascii="Times New Roman" w:hAnsi="Times New Roman"/>
              </w:rPr>
              <w:t>Zmiany w</w:t>
            </w:r>
            <w:r w:rsidR="00715D52" w:rsidRPr="00B32463">
              <w:rPr>
                <w:rFonts w:ascii="Times New Roman" w:hAnsi="Times New Roman"/>
              </w:rPr>
              <w:t xml:space="preserve"> </w:t>
            </w:r>
            <w:r w:rsidRPr="00B32463">
              <w:rPr>
                <w:rFonts w:ascii="Times New Roman" w:hAnsi="Times New Roman"/>
              </w:rPr>
              <w:t xml:space="preserve">zakresie wydatków dotyczących opłat za wpis do księgi wieczystej dotychczas wynosiły </w:t>
            </w:r>
            <w:r w:rsidR="006B21FB" w:rsidRPr="00B32463">
              <w:rPr>
                <w:rFonts w:ascii="Times New Roman" w:hAnsi="Times New Roman"/>
              </w:rPr>
              <w:t xml:space="preserve">w skali kraju </w:t>
            </w:r>
            <w:r w:rsidRPr="00B32463">
              <w:rPr>
                <w:rFonts w:ascii="Times New Roman" w:hAnsi="Times New Roman"/>
              </w:rPr>
              <w:t>ok. 3,</w:t>
            </w:r>
            <w:r w:rsidR="004978E9">
              <w:rPr>
                <w:rFonts w:ascii="Times New Roman" w:hAnsi="Times New Roman"/>
              </w:rPr>
              <w:t>3</w:t>
            </w:r>
            <w:r w:rsidRPr="00B32463">
              <w:rPr>
                <w:rFonts w:ascii="Times New Roman" w:hAnsi="Times New Roman"/>
              </w:rPr>
              <w:t xml:space="preserve"> tys. zł (kalkulacja str. </w:t>
            </w:r>
            <w:r w:rsidR="00B4463F">
              <w:rPr>
                <w:rFonts w:ascii="Times New Roman" w:hAnsi="Times New Roman"/>
              </w:rPr>
              <w:t>7</w:t>
            </w:r>
            <w:r w:rsidRPr="00B32463">
              <w:rPr>
                <w:rFonts w:ascii="Times New Roman" w:hAnsi="Times New Roman"/>
              </w:rPr>
              <w:t xml:space="preserve"> tabela 1</w:t>
            </w:r>
            <w:r w:rsidR="00B4463F">
              <w:rPr>
                <w:rFonts w:ascii="Times New Roman" w:hAnsi="Times New Roman"/>
              </w:rPr>
              <w:t>5</w:t>
            </w:r>
            <w:r w:rsidRPr="00B32463">
              <w:rPr>
                <w:rFonts w:ascii="Times New Roman" w:hAnsi="Times New Roman"/>
              </w:rPr>
              <w:t>)</w:t>
            </w:r>
            <w:r w:rsidR="00764E65">
              <w:rPr>
                <w:rFonts w:ascii="Times New Roman" w:hAnsi="Times New Roman"/>
              </w:rPr>
              <w:t>,</w:t>
            </w:r>
            <w:r w:rsidRPr="00B32463">
              <w:rPr>
                <w:rFonts w:ascii="Times New Roman" w:hAnsi="Times New Roman"/>
              </w:rPr>
              <w:t xml:space="preserve"> zatem wpływ na budżet państwa zmiany przepisów w</w:t>
            </w:r>
            <w:r w:rsidR="00715D52" w:rsidRPr="00B32463">
              <w:rPr>
                <w:rFonts w:ascii="Times New Roman" w:hAnsi="Times New Roman"/>
              </w:rPr>
              <w:t xml:space="preserve"> </w:t>
            </w:r>
            <w:r w:rsidRPr="00B32463">
              <w:rPr>
                <w:rFonts w:ascii="Times New Roman" w:hAnsi="Times New Roman"/>
              </w:rPr>
              <w:t xml:space="preserve">tym zakresie będzie niezauważalny. </w:t>
            </w:r>
          </w:p>
          <w:p w:rsidR="009E0173" w:rsidRDefault="009E0173" w:rsidP="00926C61">
            <w:pPr>
              <w:spacing w:line="240" w:lineRule="auto"/>
              <w:jc w:val="both"/>
              <w:rPr>
                <w:rFonts w:ascii="Times New Roman" w:hAnsi="Times New Roman"/>
                <w:b/>
              </w:rPr>
            </w:pPr>
          </w:p>
          <w:p w:rsidR="008E5C3D" w:rsidRDefault="008E5C3D" w:rsidP="00926C61">
            <w:pPr>
              <w:spacing w:line="240" w:lineRule="auto"/>
              <w:jc w:val="both"/>
              <w:rPr>
                <w:rFonts w:ascii="Times New Roman" w:hAnsi="Times New Roman"/>
                <w:b/>
              </w:rPr>
            </w:pPr>
            <w:r w:rsidRPr="00BB66CC">
              <w:rPr>
                <w:rFonts w:ascii="Times New Roman" w:hAnsi="Times New Roman"/>
                <w:b/>
              </w:rPr>
              <w:t>4) Opłata komornicza</w:t>
            </w:r>
          </w:p>
          <w:p w:rsidR="008E5C3D" w:rsidRPr="008E5C3D" w:rsidRDefault="00A5054E" w:rsidP="00BC37C9">
            <w:pPr>
              <w:spacing w:line="240" w:lineRule="auto"/>
              <w:jc w:val="both"/>
              <w:rPr>
                <w:rFonts w:ascii="Times New Roman" w:hAnsi="Times New Roman"/>
              </w:rPr>
            </w:pPr>
            <w:r>
              <w:rPr>
                <w:rFonts w:ascii="Times New Roman" w:hAnsi="Times New Roman"/>
              </w:rPr>
              <w:t xml:space="preserve">Projekt zakłada rezygnację z pobierania opłaty komorniczej. Zgodnie z danymi przekazanymi przez administracyjne organy egzekucyjne </w:t>
            </w:r>
            <w:r w:rsidR="00BC37C9">
              <w:rPr>
                <w:rFonts w:ascii="Times New Roman" w:hAnsi="Times New Roman"/>
              </w:rPr>
              <w:t>jedynie naczelnicy urzędów skarbowych pobierają opłatę komorniczą (pozostałe organy nie wykazały dochodów z tego tytułu). Zgodnie z</w:t>
            </w:r>
            <w:r w:rsidR="006D7DD8">
              <w:rPr>
                <w:rFonts w:ascii="Times New Roman" w:hAnsi="Times New Roman"/>
              </w:rPr>
              <w:t> </w:t>
            </w:r>
            <w:r w:rsidR="00BC37C9">
              <w:rPr>
                <w:rFonts w:ascii="Times New Roman" w:hAnsi="Times New Roman"/>
              </w:rPr>
              <w:t>informacjami Krajowej Administracji Skarbowej dochody budżetu państwa z tytułu opłaty komorniczej w latach 2015-2016 wyniosły średnio ok. 59</w:t>
            </w:r>
            <w:r w:rsidR="00F505C5">
              <w:rPr>
                <w:rFonts w:ascii="Times New Roman" w:hAnsi="Times New Roman"/>
              </w:rPr>
              <w:t>,42</w:t>
            </w:r>
            <w:r w:rsidR="00BC37C9">
              <w:rPr>
                <w:rFonts w:ascii="Times New Roman" w:hAnsi="Times New Roman"/>
              </w:rPr>
              <w:t xml:space="preserve"> mln zł K</w:t>
            </w:r>
            <w:r w:rsidR="00BC37C9" w:rsidRPr="00BB66CC">
              <w:rPr>
                <w:rFonts w:ascii="Times New Roman" w:hAnsi="Times New Roman"/>
              </w:rPr>
              <w:t>wota nie jest tożsama z</w:t>
            </w:r>
            <w:r w:rsidR="006D7DD8">
              <w:rPr>
                <w:rFonts w:ascii="Times New Roman" w:hAnsi="Times New Roman"/>
              </w:rPr>
              <w:t> </w:t>
            </w:r>
            <w:r w:rsidR="00BC37C9" w:rsidRPr="00BB66CC">
              <w:rPr>
                <w:rFonts w:ascii="Times New Roman" w:hAnsi="Times New Roman"/>
              </w:rPr>
              <w:t>kwotą dochodów budżetu państwa z tego</w:t>
            </w:r>
            <w:r w:rsidR="00BC37C9">
              <w:rPr>
                <w:rFonts w:ascii="Times New Roman" w:hAnsi="Times New Roman"/>
              </w:rPr>
              <w:t xml:space="preserve"> </w:t>
            </w:r>
            <w:r w:rsidR="00E35A98" w:rsidRPr="00F505C5">
              <w:rPr>
                <w:rFonts w:ascii="Times New Roman" w:hAnsi="Times New Roman"/>
              </w:rPr>
              <w:t>tytułu</w:t>
            </w:r>
            <w:r w:rsidR="006D7DD8">
              <w:rPr>
                <w:rFonts w:ascii="Times New Roman" w:hAnsi="Times New Roman"/>
              </w:rPr>
              <w:t>,</w:t>
            </w:r>
            <w:r w:rsidR="00E35A98" w:rsidRPr="00F505C5">
              <w:rPr>
                <w:rFonts w:ascii="Times New Roman" w:hAnsi="Times New Roman"/>
              </w:rPr>
              <w:t xml:space="preserve"> nie uwzględnia bowiem wydatków ponoszonych przez naczelników urzędów skarbowych na </w:t>
            </w:r>
            <w:r w:rsidR="00E35A98">
              <w:rPr>
                <w:rFonts w:ascii="Times New Roman" w:hAnsi="Times New Roman"/>
              </w:rPr>
              <w:t>jej obsługę (potrącanie, zawiadamiani</w:t>
            </w:r>
            <w:r w:rsidR="006D7DD8">
              <w:rPr>
                <w:rFonts w:ascii="Times New Roman" w:hAnsi="Times New Roman"/>
              </w:rPr>
              <w:t xml:space="preserve">e wierzyciela o jej wysokości, </w:t>
            </w:r>
            <w:r w:rsidR="00E35A98">
              <w:rPr>
                <w:rFonts w:ascii="Times New Roman" w:hAnsi="Times New Roman"/>
              </w:rPr>
              <w:t>postępowanie dotyczące kwestionowania jej wysokości). Ponadto</w:t>
            </w:r>
            <w:r w:rsidR="00BC37C9" w:rsidRPr="00BB66CC">
              <w:rPr>
                <w:rFonts w:ascii="Times New Roman" w:hAnsi="Times New Roman"/>
              </w:rPr>
              <w:t xml:space="preserve"> wśród wierzycieli należności dochodzonych przez organy</w:t>
            </w:r>
            <w:r w:rsidR="00BC37C9">
              <w:rPr>
                <w:rFonts w:ascii="Times New Roman" w:hAnsi="Times New Roman"/>
              </w:rPr>
              <w:t xml:space="preserve"> </w:t>
            </w:r>
            <w:r w:rsidR="00BC37C9" w:rsidRPr="00BB66CC">
              <w:rPr>
                <w:rFonts w:ascii="Times New Roman" w:hAnsi="Times New Roman"/>
              </w:rPr>
              <w:t>egzekucyjne (naczelników urzędów skarbowych) zdecydowaną większość stanowią</w:t>
            </w:r>
            <w:r w:rsidR="00BC37C9">
              <w:rPr>
                <w:rFonts w:ascii="Times New Roman" w:hAnsi="Times New Roman"/>
              </w:rPr>
              <w:t xml:space="preserve"> </w:t>
            </w:r>
            <w:r w:rsidR="00BC37C9" w:rsidRPr="00BB66CC">
              <w:rPr>
                <w:rFonts w:ascii="Times New Roman" w:hAnsi="Times New Roman"/>
              </w:rPr>
              <w:t>jednostki sektora finansów publicznych, w tym państwowe i samorządowe jednostki</w:t>
            </w:r>
            <w:r w:rsidR="00BC37C9">
              <w:rPr>
                <w:rFonts w:ascii="Times New Roman" w:hAnsi="Times New Roman"/>
              </w:rPr>
              <w:t xml:space="preserve"> </w:t>
            </w:r>
            <w:r w:rsidR="00BC37C9" w:rsidRPr="00BB66CC">
              <w:rPr>
                <w:rFonts w:ascii="Times New Roman" w:hAnsi="Times New Roman"/>
              </w:rPr>
              <w:t>budżetowe, państwowe fundusze celowe, państwowe i</w:t>
            </w:r>
            <w:r w:rsidR="006D7DD8">
              <w:rPr>
                <w:rFonts w:ascii="Times New Roman" w:hAnsi="Times New Roman"/>
              </w:rPr>
              <w:t> </w:t>
            </w:r>
            <w:r w:rsidR="00BC37C9" w:rsidRPr="00BB66CC">
              <w:rPr>
                <w:rFonts w:ascii="Times New Roman" w:hAnsi="Times New Roman"/>
              </w:rPr>
              <w:t>samorządowe osoby prawne. W</w:t>
            </w:r>
            <w:r w:rsidR="00BC37C9">
              <w:rPr>
                <w:rFonts w:ascii="Times New Roman" w:hAnsi="Times New Roman"/>
              </w:rPr>
              <w:t xml:space="preserve"> </w:t>
            </w:r>
            <w:r w:rsidR="00BC37C9" w:rsidRPr="00BB66CC">
              <w:rPr>
                <w:rFonts w:ascii="Times New Roman" w:hAnsi="Times New Roman"/>
              </w:rPr>
              <w:t>konsekwencji znacząca część wierzycieli w administracyjnych postępowaniach</w:t>
            </w:r>
            <w:r w:rsidR="00BC37C9">
              <w:rPr>
                <w:rFonts w:ascii="Times New Roman" w:hAnsi="Times New Roman"/>
              </w:rPr>
              <w:t xml:space="preserve"> </w:t>
            </w:r>
            <w:r w:rsidR="00BC37C9" w:rsidRPr="00BB66CC">
              <w:rPr>
                <w:rFonts w:ascii="Times New Roman" w:hAnsi="Times New Roman"/>
              </w:rPr>
              <w:t>egzekucyjnych w celu zapłacenia opłaty komorniczej naczelnikowi urzędu skarbowego</w:t>
            </w:r>
            <w:r w:rsidR="00BC37C9">
              <w:rPr>
                <w:rFonts w:ascii="Times New Roman" w:hAnsi="Times New Roman"/>
              </w:rPr>
              <w:t xml:space="preserve"> </w:t>
            </w:r>
            <w:r w:rsidR="00BC37C9" w:rsidRPr="00BB66CC">
              <w:rPr>
                <w:rFonts w:ascii="Times New Roman" w:hAnsi="Times New Roman"/>
              </w:rPr>
              <w:t>musi pozyskać środki na ten cel z budżetu państwa.</w:t>
            </w:r>
            <w:r w:rsidR="00E35A98">
              <w:rPr>
                <w:rFonts w:ascii="Times New Roman" w:hAnsi="Times New Roman"/>
              </w:rPr>
              <w:t xml:space="preserve"> Zatem</w:t>
            </w:r>
            <w:r w:rsidR="00BC37C9" w:rsidRPr="00BB66CC">
              <w:rPr>
                <w:rFonts w:ascii="Times New Roman" w:hAnsi="Times New Roman"/>
              </w:rPr>
              <w:t xml:space="preserve"> </w:t>
            </w:r>
            <w:r w:rsidR="00E35A98">
              <w:rPr>
                <w:rFonts w:ascii="Times New Roman" w:hAnsi="Times New Roman"/>
              </w:rPr>
              <w:t>k</w:t>
            </w:r>
            <w:r w:rsidR="00E35A98" w:rsidRPr="00740C47">
              <w:rPr>
                <w:rFonts w:ascii="Times New Roman" w:hAnsi="Times New Roman"/>
              </w:rPr>
              <w:t>wota faktycznych dochodów</w:t>
            </w:r>
            <w:r w:rsidR="00E35A98">
              <w:rPr>
                <w:rFonts w:ascii="Times New Roman" w:hAnsi="Times New Roman"/>
              </w:rPr>
              <w:t xml:space="preserve"> </w:t>
            </w:r>
            <w:r w:rsidR="00E35A98" w:rsidRPr="00740C47">
              <w:rPr>
                <w:rFonts w:ascii="Times New Roman" w:hAnsi="Times New Roman"/>
              </w:rPr>
              <w:t xml:space="preserve">budżetu państwa z tytułu opłaty komorniczej </w:t>
            </w:r>
            <w:r w:rsidR="00E35A98">
              <w:rPr>
                <w:rFonts w:ascii="Times New Roman" w:hAnsi="Times New Roman"/>
              </w:rPr>
              <w:t>jest</w:t>
            </w:r>
            <w:r w:rsidR="00E35A98" w:rsidRPr="00740C47">
              <w:rPr>
                <w:rFonts w:ascii="Times New Roman" w:hAnsi="Times New Roman"/>
              </w:rPr>
              <w:t xml:space="preserve"> znacznie niższa </w:t>
            </w:r>
            <w:r w:rsidR="00E35A98">
              <w:rPr>
                <w:rFonts w:ascii="Times New Roman" w:hAnsi="Times New Roman"/>
              </w:rPr>
              <w:t xml:space="preserve">wskazanej powyżej. </w:t>
            </w:r>
          </w:p>
          <w:p w:rsidR="009E0173" w:rsidRDefault="009E0173" w:rsidP="00926C61">
            <w:pPr>
              <w:spacing w:line="240" w:lineRule="auto"/>
              <w:jc w:val="both"/>
              <w:rPr>
                <w:rFonts w:ascii="Times New Roman" w:hAnsi="Times New Roman"/>
                <w:b/>
              </w:rPr>
            </w:pPr>
          </w:p>
          <w:p w:rsidR="004D1A00" w:rsidRPr="00B32463" w:rsidRDefault="008E5C3D" w:rsidP="00926C61">
            <w:pPr>
              <w:spacing w:line="240" w:lineRule="auto"/>
              <w:jc w:val="both"/>
              <w:rPr>
                <w:rFonts w:ascii="Times New Roman" w:hAnsi="Times New Roman"/>
                <w:b/>
              </w:rPr>
            </w:pPr>
            <w:r>
              <w:rPr>
                <w:rFonts w:ascii="Times New Roman" w:hAnsi="Times New Roman"/>
                <w:b/>
              </w:rPr>
              <w:t>5</w:t>
            </w:r>
            <w:r w:rsidR="004D1A00" w:rsidRPr="00B32463">
              <w:rPr>
                <w:rFonts w:ascii="Times New Roman" w:hAnsi="Times New Roman"/>
                <w:b/>
              </w:rPr>
              <w:t>) Łączne dane dotyczące wpływu na budżet państwa</w:t>
            </w:r>
          </w:p>
          <w:p w:rsidR="004D1A00" w:rsidRPr="00B32463" w:rsidRDefault="00807522" w:rsidP="00926C61">
            <w:pPr>
              <w:spacing w:line="240" w:lineRule="auto"/>
              <w:jc w:val="both"/>
              <w:rPr>
                <w:rFonts w:ascii="Times New Roman" w:hAnsi="Times New Roman"/>
              </w:rPr>
            </w:pPr>
            <w:r w:rsidRPr="00B32463">
              <w:rPr>
                <w:rFonts w:ascii="Times New Roman" w:hAnsi="Times New Roman"/>
              </w:rPr>
              <w:t>Podsumowując</w:t>
            </w:r>
            <w:r w:rsidR="009E0173">
              <w:rPr>
                <w:rFonts w:ascii="Times New Roman" w:hAnsi="Times New Roman"/>
              </w:rPr>
              <w:t>,</w:t>
            </w:r>
            <w:r w:rsidRPr="00B32463">
              <w:rPr>
                <w:rFonts w:ascii="Times New Roman" w:hAnsi="Times New Roman"/>
              </w:rPr>
              <w:t xml:space="preserve"> informacje dotyczące wpływu</w:t>
            </w:r>
            <w:r w:rsidR="000B4B8A" w:rsidRPr="00B32463">
              <w:rPr>
                <w:rFonts w:ascii="Times New Roman" w:hAnsi="Times New Roman"/>
              </w:rPr>
              <w:t xml:space="preserve"> projektowanych regulacji </w:t>
            </w:r>
            <w:r w:rsidRPr="00B32463">
              <w:rPr>
                <w:rFonts w:ascii="Times New Roman" w:hAnsi="Times New Roman"/>
              </w:rPr>
              <w:t xml:space="preserve">na budżet państwa </w:t>
            </w:r>
            <w:r w:rsidR="0024696F" w:rsidRPr="00B32463">
              <w:rPr>
                <w:rFonts w:ascii="Times New Roman" w:hAnsi="Times New Roman"/>
              </w:rPr>
              <w:t xml:space="preserve">należy wskazać, iż łączny wzrost </w:t>
            </w:r>
            <w:r w:rsidR="005F1D87" w:rsidRPr="00B32463">
              <w:rPr>
                <w:rFonts w:ascii="Times New Roman" w:hAnsi="Times New Roman"/>
              </w:rPr>
              <w:t xml:space="preserve">rocznego </w:t>
            </w:r>
            <w:r w:rsidR="0024696F" w:rsidRPr="00B32463">
              <w:rPr>
                <w:rFonts w:ascii="Times New Roman" w:hAnsi="Times New Roman"/>
              </w:rPr>
              <w:t xml:space="preserve">dochodu </w:t>
            </w:r>
            <w:r w:rsidR="005F1D87" w:rsidRPr="00B32463">
              <w:rPr>
                <w:rFonts w:ascii="Times New Roman" w:hAnsi="Times New Roman"/>
              </w:rPr>
              <w:t xml:space="preserve">budżetu państwa wyniesie </w:t>
            </w:r>
            <w:r w:rsidR="00110B66">
              <w:rPr>
                <w:rFonts w:ascii="Times New Roman" w:hAnsi="Times New Roman"/>
              </w:rPr>
              <w:t>332,94</w:t>
            </w:r>
            <w:r w:rsidR="00B4463F">
              <w:rPr>
                <w:rFonts w:ascii="Times New Roman" w:hAnsi="Times New Roman"/>
              </w:rPr>
              <w:t xml:space="preserve"> </w:t>
            </w:r>
            <w:r w:rsidR="005F1D87" w:rsidRPr="00B32463">
              <w:rPr>
                <w:rFonts w:ascii="Times New Roman" w:hAnsi="Times New Roman"/>
              </w:rPr>
              <w:t>mln zł</w:t>
            </w:r>
            <w:r w:rsidR="000B4B8A" w:rsidRPr="00B32463">
              <w:rPr>
                <w:rFonts w:ascii="Times New Roman" w:hAnsi="Times New Roman"/>
              </w:rPr>
              <w:t xml:space="preserve"> (kalkulacja str. </w:t>
            </w:r>
            <w:r w:rsidR="00B4463F">
              <w:rPr>
                <w:rFonts w:ascii="Times New Roman" w:hAnsi="Times New Roman"/>
              </w:rPr>
              <w:t>8</w:t>
            </w:r>
            <w:r w:rsidR="000B4B8A" w:rsidRPr="00B32463">
              <w:rPr>
                <w:rFonts w:ascii="Times New Roman" w:hAnsi="Times New Roman"/>
              </w:rPr>
              <w:t xml:space="preserve"> tabel</w:t>
            </w:r>
            <w:r w:rsidR="00110B66">
              <w:rPr>
                <w:rFonts w:ascii="Times New Roman" w:hAnsi="Times New Roman"/>
              </w:rPr>
              <w:t>e</w:t>
            </w:r>
            <w:r w:rsidR="000B4B8A" w:rsidRPr="00B32463">
              <w:rPr>
                <w:rFonts w:ascii="Times New Roman" w:hAnsi="Times New Roman"/>
              </w:rPr>
              <w:t xml:space="preserve"> 1</w:t>
            </w:r>
            <w:r w:rsidR="00B4463F">
              <w:rPr>
                <w:rFonts w:ascii="Times New Roman" w:hAnsi="Times New Roman"/>
              </w:rPr>
              <w:t>7</w:t>
            </w:r>
            <w:r w:rsidR="00110B66">
              <w:rPr>
                <w:rFonts w:ascii="Times New Roman" w:hAnsi="Times New Roman"/>
              </w:rPr>
              <w:t xml:space="preserve"> i 18</w:t>
            </w:r>
            <w:r w:rsidR="000B4B8A" w:rsidRPr="00B32463">
              <w:rPr>
                <w:rFonts w:ascii="Times New Roman" w:hAnsi="Times New Roman"/>
              </w:rPr>
              <w:t>).</w:t>
            </w:r>
            <w:r w:rsidR="005F1D87" w:rsidRPr="00B32463">
              <w:rPr>
                <w:rFonts w:ascii="Times New Roman" w:hAnsi="Times New Roman"/>
              </w:rPr>
              <w:t xml:space="preserve"> Jednak biorąc pod uwagę średni czas trwania postępowania egzekucyjnego tj. 555 dni (ok. 1,5 roku) </w:t>
            </w:r>
            <w:r w:rsidR="001651ED">
              <w:rPr>
                <w:rFonts w:ascii="Times New Roman" w:hAnsi="Times New Roman"/>
              </w:rPr>
              <w:t xml:space="preserve">oraz mając na względzie termin wejścia w życie zmian w zakresie opłaty egzekucyjnej </w:t>
            </w:r>
            <w:r w:rsidR="005F1D87" w:rsidRPr="00B32463">
              <w:rPr>
                <w:rFonts w:ascii="Times New Roman" w:hAnsi="Times New Roman"/>
              </w:rPr>
              <w:t xml:space="preserve">należy przyjąć, iż pełna wysokość wzrostu dochodów </w:t>
            </w:r>
            <w:r w:rsidR="000B4B8A" w:rsidRPr="00B32463">
              <w:rPr>
                <w:rFonts w:ascii="Times New Roman" w:hAnsi="Times New Roman"/>
              </w:rPr>
              <w:t xml:space="preserve">zostanie </w:t>
            </w:r>
            <w:r w:rsidR="005F1D87" w:rsidRPr="00B32463">
              <w:rPr>
                <w:rFonts w:ascii="Times New Roman" w:hAnsi="Times New Roman"/>
              </w:rPr>
              <w:t>osiągn</w:t>
            </w:r>
            <w:r w:rsidR="000B4B8A" w:rsidRPr="00B32463">
              <w:rPr>
                <w:rFonts w:ascii="Times New Roman" w:hAnsi="Times New Roman"/>
              </w:rPr>
              <w:t>ięta</w:t>
            </w:r>
            <w:r w:rsidR="005F1D87" w:rsidRPr="00B32463">
              <w:rPr>
                <w:rFonts w:ascii="Times New Roman" w:hAnsi="Times New Roman"/>
              </w:rPr>
              <w:t xml:space="preserve"> na przestrzeni kilku lat. Należy zauważyć, iż</w:t>
            </w:r>
            <w:r w:rsidR="000B4B8A" w:rsidRPr="00B32463">
              <w:rPr>
                <w:rFonts w:ascii="Times New Roman" w:hAnsi="Times New Roman"/>
              </w:rPr>
              <w:t xml:space="preserve"> w egzekucji znajdują się tytuły</w:t>
            </w:r>
            <w:r w:rsidR="005F1D87" w:rsidRPr="00B32463">
              <w:rPr>
                <w:rFonts w:ascii="Times New Roman" w:hAnsi="Times New Roman"/>
              </w:rPr>
              <w:t xml:space="preserve"> wykonawcze, do których koszty egzekucyjne zostały naliczone przed dniem wejścia w życie projektowanych przepisów. Biorąc pod uwagę powyższe zakłada się, że pełna wysokość wzrostu do</w:t>
            </w:r>
            <w:r w:rsidR="000B4B8A" w:rsidRPr="00B32463">
              <w:rPr>
                <w:rFonts w:ascii="Times New Roman" w:hAnsi="Times New Roman"/>
              </w:rPr>
              <w:t xml:space="preserve">chodów budżetu państwa z </w:t>
            </w:r>
            <w:r w:rsidR="005F1D87" w:rsidRPr="00B32463">
              <w:rPr>
                <w:rFonts w:ascii="Times New Roman" w:hAnsi="Times New Roman"/>
              </w:rPr>
              <w:t>tytułu zmiany regulacji w zakresie kosztów egzekucyjnych zostanie osiągnięta w tr</w:t>
            </w:r>
            <w:r w:rsidR="00D31DCC" w:rsidRPr="00B32463">
              <w:rPr>
                <w:rFonts w:ascii="Times New Roman" w:hAnsi="Times New Roman"/>
              </w:rPr>
              <w:t xml:space="preserve">zecim roku obowiązywania ustawy (kalkulacja str. </w:t>
            </w:r>
            <w:r w:rsidR="00B4463F">
              <w:rPr>
                <w:rFonts w:ascii="Times New Roman" w:hAnsi="Times New Roman"/>
              </w:rPr>
              <w:t>8</w:t>
            </w:r>
            <w:r w:rsidR="00D31DCC" w:rsidRPr="00B32463">
              <w:rPr>
                <w:rFonts w:ascii="Times New Roman" w:hAnsi="Times New Roman"/>
              </w:rPr>
              <w:t xml:space="preserve"> tabela 1</w:t>
            </w:r>
            <w:r w:rsidR="00B4463F">
              <w:rPr>
                <w:rFonts w:ascii="Times New Roman" w:hAnsi="Times New Roman"/>
              </w:rPr>
              <w:t>8</w:t>
            </w:r>
            <w:r w:rsidR="00D31DCC" w:rsidRPr="00B32463">
              <w:rPr>
                <w:rFonts w:ascii="Times New Roman" w:hAnsi="Times New Roman"/>
              </w:rPr>
              <w:t xml:space="preserve">). </w:t>
            </w:r>
            <w:r w:rsidR="005F1D87" w:rsidRPr="00B32463">
              <w:rPr>
                <w:rFonts w:ascii="Times New Roman" w:hAnsi="Times New Roman"/>
              </w:rPr>
              <w:t xml:space="preserve">  </w:t>
            </w:r>
          </w:p>
          <w:p w:rsidR="00807522" w:rsidRPr="00B32463" w:rsidRDefault="00807522" w:rsidP="00926C61">
            <w:pPr>
              <w:spacing w:line="240" w:lineRule="auto"/>
              <w:jc w:val="both"/>
              <w:rPr>
                <w:rFonts w:ascii="Times New Roman" w:hAnsi="Times New Roman"/>
              </w:rPr>
            </w:pPr>
          </w:p>
          <w:p w:rsidR="003F165D" w:rsidRPr="00B32463" w:rsidRDefault="001213CC" w:rsidP="003F165D">
            <w:pPr>
              <w:spacing w:line="240" w:lineRule="auto"/>
              <w:ind w:left="211" w:hanging="211"/>
              <w:jc w:val="both"/>
              <w:rPr>
                <w:rFonts w:ascii="Times New Roman" w:hAnsi="Times New Roman"/>
                <w:b/>
                <w:u w:val="single"/>
              </w:rPr>
            </w:pPr>
            <w:r w:rsidRPr="00B32463">
              <w:rPr>
                <w:rFonts w:ascii="Times New Roman" w:hAnsi="Times New Roman"/>
                <w:b/>
                <w:u w:val="single"/>
              </w:rPr>
              <w:t xml:space="preserve">IV. </w:t>
            </w:r>
            <w:r w:rsidR="003F165D" w:rsidRPr="00B32463">
              <w:rPr>
                <w:rFonts w:ascii="Times New Roman" w:hAnsi="Times New Roman"/>
                <w:b/>
                <w:u w:val="single"/>
              </w:rPr>
              <w:t>Jednostki samorządu terytorialnego</w:t>
            </w:r>
          </w:p>
          <w:p w:rsidR="003F165D" w:rsidRPr="00B32463" w:rsidRDefault="003F165D" w:rsidP="003F165D">
            <w:pPr>
              <w:spacing w:line="240" w:lineRule="auto"/>
              <w:jc w:val="both"/>
              <w:rPr>
                <w:rFonts w:ascii="Times New Roman" w:hAnsi="Times New Roman"/>
              </w:rPr>
            </w:pPr>
            <w:r w:rsidRPr="00B32463">
              <w:rPr>
                <w:rFonts w:ascii="Times New Roman" w:hAnsi="Times New Roman"/>
                <w:b/>
              </w:rPr>
              <w:t>1)</w:t>
            </w:r>
            <w:r w:rsidRPr="00B32463">
              <w:rPr>
                <w:rFonts w:ascii="Times New Roman" w:hAnsi="Times New Roman"/>
              </w:rPr>
              <w:t xml:space="preserve"> </w:t>
            </w:r>
            <w:r w:rsidRPr="00B32463">
              <w:rPr>
                <w:rFonts w:ascii="Times New Roman" w:hAnsi="Times New Roman"/>
                <w:b/>
              </w:rPr>
              <w:t>Opłata manipulacyjna</w:t>
            </w:r>
            <w:r w:rsidRPr="00B32463">
              <w:rPr>
                <w:rFonts w:ascii="Times New Roman" w:hAnsi="Times New Roman"/>
              </w:rPr>
              <w:t xml:space="preserve"> </w:t>
            </w:r>
          </w:p>
          <w:p w:rsidR="00A10759" w:rsidRPr="00B32463" w:rsidRDefault="00A10759" w:rsidP="00A10759">
            <w:pPr>
              <w:spacing w:line="240" w:lineRule="auto"/>
              <w:jc w:val="both"/>
              <w:rPr>
                <w:rFonts w:ascii="Times New Roman" w:hAnsi="Times New Roman"/>
              </w:rPr>
            </w:pPr>
            <w:r w:rsidRPr="00B32463">
              <w:rPr>
                <w:rFonts w:ascii="Times New Roman" w:hAnsi="Times New Roman"/>
              </w:rPr>
              <w:t>Obecnie średnie dochody jednost</w:t>
            </w:r>
            <w:r w:rsidR="00C130AA">
              <w:rPr>
                <w:rFonts w:ascii="Times New Roman" w:hAnsi="Times New Roman"/>
              </w:rPr>
              <w:t>ek</w:t>
            </w:r>
            <w:r w:rsidRPr="00B32463">
              <w:rPr>
                <w:rFonts w:ascii="Times New Roman" w:hAnsi="Times New Roman"/>
              </w:rPr>
              <w:t xml:space="preserve"> samorządu terytorialnego uzyskiwane z tytułu opłaty manipulacyjnej wynoszą rocznie ok. </w:t>
            </w:r>
            <w:r w:rsidR="001213CC" w:rsidRPr="00B32463">
              <w:rPr>
                <w:rFonts w:ascii="Times New Roman" w:hAnsi="Times New Roman"/>
              </w:rPr>
              <w:t>32 tys.</w:t>
            </w:r>
            <w:r w:rsidRPr="00B32463">
              <w:rPr>
                <w:rFonts w:ascii="Times New Roman" w:hAnsi="Times New Roman"/>
              </w:rPr>
              <w:t xml:space="preserve"> zł</w:t>
            </w:r>
            <w:r w:rsidR="000B4B8A" w:rsidRPr="00B32463">
              <w:rPr>
                <w:rFonts w:ascii="Times New Roman" w:hAnsi="Times New Roman"/>
              </w:rPr>
              <w:t xml:space="preserve"> (kalkulacja str. </w:t>
            </w:r>
            <w:r w:rsidR="0015588A">
              <w:rPr>
                <w:rFonts w:ascii="Times New Roman" w:hAnsi="Times New Roman"/>
              </w:rPr>
              <w:t>9</w:t>
            </w:r>
            <w:r w:rsidR="000B4B8A" w:rsidRPr="00B32463">
              <w:rPr>
                <w:rFonts w:ascii="Times New Roman" w:hAnsi="Times New Roman"/>
              </w:rPr>
              <w:t xml:space="preserve">, tabela </w:t>
            </w:r>
            <w:r w:rsidR="008C7566">
              <w:rPr>
                <w:rFonts w:ascii="Times New Roman" w:hAnsi="Times New Roman"/>
              </w:rPr>
              <w:t>20</w:t>
            </w:r>
            <w:r w:rsidR="000B4B8A" w:rsidRPr="00B32463">
              <w:rPr>
                <w:rFonts w:ascii="Times New Roman" w:hAnsi="Times New Roman"/>
              </w:rPr>
              <w:t>)</w:t>
            </w:r>
            <w:r w:rsidRPr="00B32463">
              <w:rPr>
                <w:rFonts w:ascii="Times New Roman" w:hAnsi="Times New Roman"/>
              </w:rPr>
              <w:t>. Biorąc pod uwagę,</w:t>
            </w:r>
            <w:r w:rsidR="009E0173">
              <w:rPr>
                <w:rFonts w:ascii="Times New Roman" w:hAnsi="Times New Roman"/>
              </w:rPr>
              <w:t xml:space="preserve"> </w:t>
            </w:r>
            <w:r w:rsidRPr="00B32463">
              <w:rPr>
                <w:rFonts w:ascii="Times New Roman" w:hAnsi="Times New Roman"/>
              </w:rPr>
              <w:t xml:space="preserve">iż należności </w:t>
            </w:r>
            <w:r w:rsidR="00C130AA">
              <w:rPr>
                <w:rFonts w:ascii="Times New Roman" w:hAnsi="Times New Roman"/>
              </w:rPr>
              <w:t xml:space="preserve">egzekwowane w </w:t>
            </w:r>
            <w:r w:rsidRPr="00B32463">
              <w:rPr>
                <w:rFonts w:ascii="Times New Roman" w:hAnsi="Times New Roman"/>
              </w:rPr>
              <w:t>administracyjny</w:t>
            </w:r>
            <w:r w:rsidR="00C130AA">
              <w:rPr>
                <w:rFonts w:ascii="Times New Roman" w:hAnsi="Times New Roman"/>
              </w:rPr>
              <w:t>ch</w:t>
            </w:r>
            <w:r w:rsidRPr="00B32463">
              <w:rPr>
                <w:rFonts w:ascii="Times New Roman" w:hAnsi="Times New Roman"/>
              </w:rPr>
              <w:t xml:space="preserve"> postępowania</w:t>
            </w:r>
            <w:r w:rsidR="00C130AA">
              <w:rPr>
                <w:rFonts w:ascii="Times New Roman" w:hAnsi="Times New Roman"/>
              </w:rPr>
              <w:t>ch</w:t>
            </w:r>
            <w:r w:rsidRPr="00B32463">
              <w:rPr>
                <w:rFonts w:ascii="Times New Roman" w:hAnsi="Times New Roman"/>
              </w:rPr>
              <w:t xml:space="preserve"> egzekucyjny</w:t>
            </w:r>
            <w:r w:rsidR="00C130AA">
              <w:rPr>
                <w:rFonts w:ascii="Times New Roman" w:hAnsi="Times New Roman"/>
              </w:rPr>
              <w:t>ch</w:t>
            </w:r>
            <w:r w:rsidR="009E0173">
              <w:rPr>
                <w:rFonts w:ascii="Times New Roman" w:hAnsi="Times New Roman"/>
              </w:rPr>
              <w:t xml:space="preserve"> </w:t>
            </w:r>
            <w:r w:rsidR="00C130AA">
              <w:rPr>
                <w:rFonts w:ascii="Times New Roman" w:hAnsi="Times New Roman"/>
              </w:rPr>
              <w:lastRenderedPageBreak/>
              <w:t xml:space="preserve">prowadzonych przez </w:t>
            </w:r>
            <w:r w:rsidR="001213CC" w:rsidRPr="00B32463">
              <w:rPr>
                <w:rFonts w:ascii="Times New Roman" w:hAnsi="Times New Roman"/>
              </w:rPr>
              <w:t xml:space="preserve">prezydentów miast </w:t>
            </w:r>
            <w:r w:rsidR="00C130AA">
              <w:rPr>
                <w:rFonts w:ascii="Times New Roman" w:hAnsi="Times New Roman"/>
              </w:rPr>
              <w:t xml:space="preserve">wynoszą </w:t>
            </w:r>
            <w:r w:rsidRPr="00B32463">
              <w:rPr>
                <w:rFonts w:ascii="Times New Roman" w:hAnsi="Times New Roman"/>
              </w:rPr>
              <w:t xml:space="preserve">ok. </w:t>
            </w:r>
            <w:r w:rsidR="001213CC" w:rsidRPr="00B32463">
              <w:rPr>
                <w:rFonts w:ascii="Times New Roman" w:hAnsi="Times New Roman"/>
              </w:rPr>
              <w:t>19,76 mln</w:t>
            </w:r>
            <w:r w:rsidRPr="00B32463">
              <w:rPr>
                <w:rFonts w:ascii="Times New Roman" w:hAnsi="Times New Roman"/>
              </w:rPr>
              <w:t xml:space="preserve"> zł</w:t>
            </w:r>
            <w:r w:rsidR="00C130AA">
              <w:rPr>
                <w:rFonts w:ascii="Times New Roman" w:hAnsi="Times New Roman"/>
              </w:rPr>
              <w:t>,</w:t>
            </w:r>
            <w:r w:rsidRPr="00B32463">
              <w:rPr>
                <w:rFonts w:ascii="Times New Roman" w:hAnsi="Times New Roman"/>
              </w:rPr>
              <w:t xml:space="preserve"> wysokość naliczonej opłaty manipulacyjnej to obecnie ok. </w:t>
            </w:r>
            <w:r w:rsidR="008C7566">
              <w:rPr>
                <w:rFonts w:ascii="Times New Roman" w:hAnsi="Times New Roman"/>
              </w:rPr>
              <w:t>1</w:t>
            </w:r>
            <w:r w:rsidR="00C51778">
              <w:rPr>
                <w:rFonts w:ascii="Times New Roman" w:hAnsi="Times New Roman"/>
              </w:rPr>
              <w:t>,60</w:t>
            </w:r>
            <w:r w:rsidRPr="00B32463">
              <w:rPr>
                <w:rFonts w:ascii="Times New Roman" w:hAnsi="Times New Roman"/>
              </w:rPr>
              <w:t xml:space="preserve"> mln zł</w:t>
            </w:r>
            <w:r w:rsidR="000B4B8A" w:rsidRPr="00B32463">
              <w:rPr>
                <w:rFonts w:ascii="Times New Roman" w:hAnsi="Times New Roman"/>
              </w:rPr>
              <w:t xml:space="preserve"> (kalkulacja str. </w:t>
            </w:r>
            <w:r w:rsidR="00C51778">
              <w:rPr>
                <w:rFonts w:ascii="Times New Roman" w:hAnsi="Times New Roman"/>
              </w:rPr>
              <w:t>9</w:t>
            </w:r>
            <w:r w:rsidR="000B4B8A" w:rsidRPr="00B32463">
              <w:rPr>
                <w:rFonts w:ascii="Times New Roman" w:hAnsi="Times New Roman"/>
              </w:rPr>
              <w:t xml:space="preserve"> tabela </w:t>
            </w:r>
            <w:r w:rsidR="00C51778">
              <w:rPr>
                <w:rFonts w:ascii="Times New Roman" w:hAnsi="Times New Roman"/>
              </w:rPr>
              <w:t>20</w:t>
            </w:r>
            <w:r w:rsidR="000B4B8A" w:rsidRPr="00B32463">
              <w:rPr>
                <w:rFonts w:ascii="Times New Roman" w:hAnsi="Times New Roman"/>
              </w:rPr>
              <w:t>)</w:t>
            </w:r>
            <w:r w:rsidRPr="00B32463">
              <w:rPr>
                <w:rFonts w:ascii="Times New Roman" w:hAnsi="Times New Roman"/>
              </w:rPr>
              <w:t xml:space="preserve">. </w:t>
            </w:r>
            <w:r w:rsidR="001213CC" w:rsidRPr="00B32463">
              <w:rPr>
                <w:rFonts w:ascii="Times New Roman" w:hAnsi="Times New Roman"/>
              </w:rPr>
              <w:t>Średni wskaźnik e</w:t>
            </w:r>
            <w:r w:rsidRPr="00B32463">
              <w:rPr>
                <w:rFonts w:ascii="Times New Roman" w:hAnsi="Times New Roman"/>
              </w:rPr>
              <w:t>fektywnoś</w:t>
            </w:r>
            <w:r w:rsidR="009E0173">
              <w:rPr>
                <w:rFonts w:ascii="Times New Roman" w:hAnsi="Times New Roman"/>
              </w:rPr>
              <w:t>ci</w:t>
            </w:r>
            <w:r w:rsidRPr="00B32463">
              <w:rPr>
                <w:rFonts w:ascii="Times New Roman" w:hAnsi="Times New Roman"/>
              </w:rPr>
              <w:t xml:space="preserve"> egzekucji </w:t>
            </w:r>
            <w:r w:rsidR="001213CC" w:rsidRPr="00B32463">
              <w:rPr>
                <w:rFonts w:ascii="Times New Roman" w:hAnsi="Times New Roman"/>
              </w:rPr>
              <w:t>prowadzonej przez prezydenta miasta, liczony</w:t>
            </w:r>
            <w:r w:rsidR="00C130AA">
              <w:rPr>
                <w:rFonts w:ascii="Times New Roman" w:hAnsi="Times New Roman"/>
              </w:rPr>
              <w:t xml:space="preserve"> </w:t>
            </w:r>
            <w:r w:rsidR="001213CC" w:rsidRPr="00B32463">
              <w:rPr>
                <w:rFonts w:ascii="Times New Roman" w:hAnsi="Times New Roman"/>
              </w:rPr>
              <w:t>jako stosunek kwoty wyegzekwowanej do sumy wszystkich należności w egzekucji wynosi ok. 13</w:t>
            </w:r>
            <w:r w:rsidRPr="00B32463">
              <w:rPr>
                <w:rFonts w:ascii="Times New Roman" w:hAnsi="Times New Roman"/>
              </w:rPr>
              <w:t xml:space="preserve">%. </w:t>
            </w:r>
          </w:p>
          <w:p w:rsidR="00A10759" w:rsidRDefault="00A10759" w:rsidP="001213CC">
            <w:pPr>
              <w:spacing w:line="240" w:lineRule="auto"/>
              <w:jc w:val="both"/>
              <w:rPr>
                <w:rFonts w:ascii="Times New Roman" w:hAnsi="Times New Roman"/>
              </w:rPr>
            </w:pPr>
            <w:r w:rsidRPr="00B32463">
              <w:rPr>
                <w:rFonts w:ascii="Times New Roman" w:hAnsi="Times New Roman"/>
              </w:rPr>
              <w:t xml:space="preserve">Ze względu jednak na zmniejszenie wpływu tytułów wykonawczych obejmujących należności do 500 zł </w:t>
            </w:r>
            <w:r w:rsidR="001213CC" w:rsidRPr="00B32463">
              <w:rPr>
                <w:rFonts w:ascii="Times New Roman" w:hAnsi="Times New Roman"/>
              </w:rPr>
              <w:t xml:space="preserve">(szczegółowo omówiono w pkt III. 1) </w:t>
            </w:r>
            <w:r w:rsidRPr="00B32463">
              <w:rPr>
                <w:rFonts w:ascii="Times New Roman" w:hAnsi="Times New Roman"/>
              </w:rPr>
              <w:t xml:space="preserve">przyjmuje się, iż efektywność egzekucji opłaty manipulacyjnej spadnie o ok. </w:t>
            </w:r>
            <w:r w:rsidR="001213CC" w:rsidRPr="00B32463">
              <w:rPr>
                <w:rFonts w:ascii="Times New Roman" w:hAnsi="Times New Roman"/>
              </w:rPr>
              <w:t>5</w:t>
            </w:r>
            <w:r w:rsidRPr="00B32463">
              <w:rPr>
                <w:rFonts w:ascii="Times New Roman" w:hAnsi="Times New Roman"/>
              </w:rPr>
              <w:t xml:space="preserve">% i wyniesie </w:t>
            </w:r>
            <w:r w:rsidR="001213CC" w:rsidRPr="00B32463">
              <w:rPr>
                <w:rFonts w:ascii="Times New Roman" w:hAnsi="Times New Roman"/>
              </w:rPr>
              <w:t>8</w:t>
            </w:r>
            <w:r w:rsidRPr="00B32463">
              <w:rPr>
                <w:rFonts w:ascii="Times New Roman" w:hAnsi="Times New Roman"/>
              </w:rPr>
              <w:t xml:space="preserve">%. Biorąc pod uwagę powyższe przyjmuje się, iż </w:t>
            </w:r>
            <w:r w:rsidR="001213CC" w:rsidRPr="00B32463">
              <w:rPr>
                <w:rFonts w:ascii="Times New Roman" w:hAnsi="Times New Roman"/>
              </w:rPr>
              <w:t xml:space="preserve">średnia </w:t>
            </w:r>
            <w:r w:rsidRPr="00B32463">
              <w:rPr>
                <w:rFonts w:ascii="Times New Roman" w:hAnsi="Times New Roman"/>
              </w:rPr>
              <w:t xml:space="preserve">szacowana kwota dochodów </w:t>
            </w:r>
            <w:r w:rsidR="001213CC" w:rsidRPr="00B32463">
              <w:rPr>
                <w:rFonts w:ascii="Times New Roman" w:hAnsi="Times New Roman"/>
              </w:rPr>
              <w:t xml:space="preserve">jednostki samorządu terytorialnego </w:t>
            </w:r>
            <w:r w:rsidRPr="00B32463">
              <w:rPr>
                <w:rFonts w:ascii="Times New Roman" w:hAnsi="Times New Roman"/>
              </w:rPr>
              <w:t xml:space="preserve">z tytułu opłaty manipulacyjnej wyniesie </w:t>
            </w:r>
            <w:r w:rsidR="00C51778">
              <w:rPr>
                <w:rFonts w:ascii="Times New Roman" w:hAnsi="Times New Roman"/>
              </w:rPr>
              <w:t>128</w:t>
            </w:r>
            <w:r w:rsidR="00C51778" w:rsidRPr="00B32463">
              <w:rPr>
                <w:rFonts w:ascii="Times New Roman" w:hAnsi="Times New Roman"/>
              </w:rPr>
              <w:t xml:space="preserve"> </w:t>
            </w:r>
            <w:r w:rsidR="001213CC" w:rsidRPr="00B32463">
              <w:rPr>
                <w:rFonts w:ascii="Times New Roman" w:hAnsi="Times New Roman"/>
              </w:rPr>
              <w:t>tys.</w:t>
            </w:r>
            <w:r w:rsidR="000D0540" w:rsidRPr="00B32463">
              <w:rPr>
                <w:rFonts w:ascii="Times New Roman" w:hAnsi="Times New Roman"/>
              </w:rPr>
              <w:t xml:space="preserve"> z</w:t>
            </w:r>
            <w:r w:rsidR="00C130AA">
              <w:rPr>
                <w:rFonts w:ascii="Times New Roman" w:hAnsi="Times New Roman"/>
              </w:rPr>
              <w:t xml:space="preserve">ł (kalkulacja str. </w:t>
            </w:r>
            <w:r w:rsidR="00C51778">
              <w:rPr>
                <w:rFonts w:ascii="Times New Roman" w:hAnsi="Times New Roman"/>
              </w:rPr>
              <w:t>10</w:t>
            </w:r>
            <w:r w:rsidR="00C130AA">
              <w:rPr>
                <w:rFonts w:ascii="Times New Roman" w:hAnsi="Times New Roman"/>
              </w:rPr>
              <w:t xml:space="preserve"> tabela </w:t>
            </w:r>
            <w:r w:rsidR="00C51778">
              <w:rPr>
                <w:rFonts w:ascii="Times New Roman" w:hAnsi="Times New Roman"/>
              </w:rPr>
              <w:t>21</w:t>
            </w:r>
            <w:r w:rsidR="00C130AA">
              <w:rPr>
                <w:rFonts w:ascii="Times New Roman" w:hAnsi="Times New Roman"/>
              </w:rPr>
              <w:t>), c</w:t>
            </w:r>
            <w:r w:rsidRPr="00B32463">
              <w:rPr>
                <w:rFonts w:ascii="Times New Roman" w:hAnsi="Times New Roman"/>
              </w:rPr>
              <w:t>o oznacza</w:t>
            </w:r>
            <w:r w:rsidR="00E7094C">
              <w:rPr>
                <w:rFonts w:ascii="Times New Roman" w:hAnsi="Times New Roman"/>
              </w:rPr>
              <w:t xml:space="preserve"> średni</w:t>
            </w:r>
            <w:r w:rsidRPr="00B32463">
              <w:rPr>
                <w:rFonts w:ascii="Times New Roman" w:hAnsi="Times New Roman"/>
              </w:rPr>
              <w:t xml:space="preserve"> wzrost dochodów</w:t>
            </w:r>
            <w:r w:rsidR="00E7094C">
              <w:rPr>
                <w:rFonts w:ascii="Times New Roman" w:hAnsi="Times New Roman"/>
              </w:rPr>
              <w:t xml:space="preserve"> jednostki </w:t>
            </w:r>
            <w:r w:rsidRPr="00B32463">
              <w:rPr>
                <w:rFonts w:ascii="Times New Roman" w:hAnsi="Times New Roman"/>
              </w:rPr>
              <w:t xml:space="preserve">z tego tytułu o ok. </w:t>
            </w:r>
            <w:r w:rsidR="00C51778">
              <w:rPr>
                <w:rFonts w:ascii="Times New Roman" w:hAnsi="Times New Roman"/>
              </w:rPr>
              <w:t>96</w:t>
            </w:r>
            <w:r w:rsidR="00C51778" w:rsidRPr="00B32463">
              <w:rPr>
                <w:rFonts w:ascii="Times New Roman" w:hAnsi="Times New Roman"/>
              </w:rPr>
              <w:t xml:space="preserve"> </w:t>
            </w:r>
            <w:r w:rsidR="001213CC" w:rsidRPr="00B32463">
              <w:rPr>
                <w:rFonts w:ascii="Times New Roman" w:hAnsi="Times New Roman"/>
              </w:rPr>
              <w:t>tys.</w:t>
            </w:r>
            <w:r w:rsidRPr="00B32463">
              <w:rPr>
                <w:rFonts w:ascii="Times New Roman" w:hAnsi="Times New Roman"/>
              </w:rPr>
              <w:t xml:space="preserve"> zł. </w:t>
            </w:r>
            <w:r w:rsidR="001213CC" w:rsidRPr="00B32463">
              <w:rPr>
                <w:rFonts w:ascii="Times New Roman" w:hAnsi="Times New Roman"/>
              </w:rPr>
              <w:t xml:space="preserve">W odniesieniu do wszystkich 47 prezydentów miast będących organami egzekucyjnymi kwota wzrostu dochodów z tytułu opłaty manipulacyjnej wyniesie </w:t>
            </w:r>
            <w:r w:rsidR="00C51778">
              <w:rPr>
                <w:rFonts w:ascii="Times New Roman" w:hAnsi="Times New Roman"/>
              </w:rPr>
              <w:t>4,7</w:t>
            </w:r>
            <w:r w:rsidR="006432F7" w:rsidRPr="00B32463">
              <w:rPr>
                <w:rFonts w:ascii="Times New Roman" w:hAnsi="Times New Roman"/>
              </w:rPr>
              <w:t xml:space="preserve"> mln zł</w:t>
            </w:r>
            <w:r w:rsidR="000D0540" w:rsidRPr="00B32463">
              <w:rPr>
                <w:rFonts w:ascii="Times New Roman" w:hAnsi="Times New Roman"/>
              </w:rPr>
              <w:t xml:space="preserve"> (kalkulacja str. </w:t>
            </w:r>
            <w:r w:rsidR="00C51778">
              <w:rPr>
                <w:rFonts w:ascii="Times New Roman" w:hAnsi="Times New Roman"/>
              </w:rPr>
              <w:t>14</w:t>
            </w:r>
            <w:r w:rsidR="000D0540" w:rsidRPr="00B32463">
              <w:rPr>
                <w:rFonts w:ascii="Times New Roman" w:hAnsi="Times New Roman"/>
              </w:rPr>
              <w:t xml:space="preserve"> tabela 2</w:t>
            </w:r>
            <w:r w:rsidR="00C51778">
              <w:rPr>
                <w:rFonts w:ascii="Times New Roman" w:hAnsi="Times New Roman"/>
              </w:rPr>
              <w:t>9</w:t>
            </w:r>
            <w:r w:rsidR="000D0540" w:rsidRPr="00B32463">
              <w:rPr>
                <w:rFonts w:ascii="Times New Roman" w:hAnsi="Times New Roman"/>
              </w:rPr>
              <w:t xml:space="preserve">). </w:t>
            </w:r>
          </w:p>
          <w:p w:rsidR="00562F87" w:rsidRDefault="00562F87" w:rsidP="001213CC">
            <w:pPr>
              <w:spacing w:line="240" w:lineRule="auto"/>
              <w:jc w:val="both"/>
              <w:rPr>
                <w:rFonts w:ascii="Times New Roman" w:hAnsi="Times New Roman"/>
              </w:rPr>
            </w:pPr>
          </w:p>
          <w:p w:rsidR="003F165D" w:rsidRPr="00B32463" w:rsidRDefault="003F165D" w:rsidP="003F165D">
            <w:pPr>
              <w:spacing w:line="240" w:lineRule="auto"/>
              <w:jc w:val="both"/>
              <w:rPr>
                <w:rFonts w:ascii="Times New Roman" w:hAnsi="Times New Roman"/>
              </w:rPr>
            </w:pPr>
            <w:r w:rsidRPr="00B32463">
              <w:rPr>
                <w:rFonts w:ascii="Times New Roman" w:hAnsi="Times New Roman"/>
                <w:b/>
              </w:rPr>
              <w:t>2) Opłata egzekucyjna</w:t>
            </w:r>
          </w:p>
          <w:p w:rsidR="00324EA9" w:rsidRPr="00B32463" w:rsidRDefault="00324EA9" w:rsidP="00324EA9">
            <w:pPr>
              <w:spacing w:line="240" w:lineRule="auto"/>
              <w:jc w:val="both"/>
              <w:rPr>
                <w:rFonts w:ascii="Times New Roman" w:hAnsi="Times New Roman"/>
              </w:rPr>
            </w:pPr>
            <w:r w:rsidRPr="00B32463">
              <w:rPr>
                <w:rFonts w:ascii="Times New Roman" w:hAnsi="Times New Roman"/>
              </w:rPr>
              <w:t xml:space="preserve">Obecnie </w:t>
            </w:r>
            <w:r w:rsidR="006432F7" w:rsidRPr="00B32463">
              <w:rPr>
                <w:rFonts w:ascii="Times New Roman" w:hAnsi="Times New Roman"/>
              </w:rPr>
              <w:t xml:space="preserve">średnie </w:t>
            </w:r>
            <w:r w:rsidRPr="00B32463">
              <w:rPr>
                <w:rFonts w:ascii="Times New Roman" w:hAnsi="Times New Roman"/>
              </w:rPr>
              <w:t xml:space="preserve">dochody </w:t>
            </w:r>
            <w:r w:rsidR="006432F7" w:rsidRPr="00B32463">
              <w:rPr>
                <w:rFonts w:ascii="Times New Roman" w:hAnsi="Times New Roman"/>
              </w:rPr>
              <w:t>jednostki samorządu terytorialnego</w:t>
            </w:r>
            <w:r w:rsidRPr="00B32463">
              <w:rPr>
                <w:rFonts w:ascii="Times New Roman" w:hAnsi="Times New Roman"/>
              </w:rPr>
              <w:t xml:space="preserve"> uzyskiwane z tytułu opłat egzekucyjnych wynoszą rocznie ok. </w:t>
            </w:r>
            <w:r w:rsidR="007931D0" w:rsidRPr="00B32463">
              <w:rPr>
                <w:rFonts w:ascii="Times New Roman" w:hAnsi="Times New Roman"/>
              </w:rPr>
              <w:t>119</w:t>
            </w:r>
            <w:r w:rsidR="006432F7" w:rsidRPr="00B32463">
              <w:rPr>
                <w:rFonts w:ascii="Times New Roman" w:hAnsi="Times New Roman"/>
              </w:rPr>
              <w:t>,38</w:t>
            </w:r>
            <w:r w:rsidRPr="00B32463">
              <w:rPr>
                <w:rFonts w:ascii="Times New Roman" w:hAnsi="Times New Roman"/>
              </w:rPr>
              <w:t xml:space="preserve"> </w:t>
            </w:r>
            <w:r w:rsidR="006432F7" w:rsidRPr="00B32463">
              <w:rPr>
                <w:rFonts w:ascii="Times New Roman" w:hAnsi="Times New Roman"/>
              </w:rPr>
              <w:t>tys.</w:t>
            </w:r>
            <w:r w:rsidRPr="00B32463">
              <w:rPr>
                <w:rFonts w:ascii="Times New Roman" w:hAnsi="Times New Roman"/>
              </w:rPr>
              <w:t xml:space="preserve"> zł (</w:t>
            </w:r>
            <w:r w:rsidR="00A271C2" w:rsidRPr="00B32463">
              <w:rPr>
                <w:rFonts w:ascii="Times New Roman" w:hAnsi="Times New Roman"/>
              </w:rPr>
              <w:t xml:space="preserve">szczegółowe rozbicie dochodów na poszczególne kategorie opłat - </w:t>
            </w:r>
            <w:r w:rsidRPr="00B32463">
              <w:rPr>
                <w:rFonts w:ascii="Times New Roman" w:hAnsi="Times New Roman"/>
              </w:rPr>
              <w:t>kalkulacj</w:t>
            </w:r>
            <w:r w:rsidR="007931D0" w:rsidRPr="00B32463">
              <w:rPr>
                <w:rFonts w:ascii="Times New Roman" w:hAnsi="Times New Roman"/>
              </w:rPr>
              <w:t>a str. 1</w:t>
            </w:r>
            <w:r w:rsidR="00B854E6">
              <w:rPr>
                <w:rFonts w:ascii="Times New Roman" w:hAnsi="Times New Roman"/>
              </w:rPr>
              <w:t>1</w:t>
            </w:r>
            <w:r w:rsidR="007931D0" w:rsidRPr="00B32463">
              <w:rPr>
                <w:rFonts w:ascii="Times New Roman" w:hAnsi="Times New Roman"/>
              </w:rPr>
              <w:t>, tabela 2</w:t>
            </w:r>
            <w:r w:rsidR="00B854E6">
              <w:rPr>
                <w:rFonts w:ascii="Times New Roman" w:hAnsi="Times New Roman"/>
              </w:rPr>
              <w:t>3</w:t>
            </w:r>
            <w:r w:rsidRPr="00B32463">
              <w:rPr>
                <w:rFonts w:ascii="Times New Roman" w:hAnsi="Times New Roman"/>
              </w:rPr>
              <w:t xml:space="preserve">). </w:t>
            </w:r>
          </w:p>
          <w:p w:rsidR="006432F7" w:rsidRPr="00B32463" w:rsidRDefault="00324EA9" w:rsidP="006432F7">
            <w:pPr>
              <w:spacing w:line="240" w:lineRule="auto"/>
              <w:jc w:val="both"/>
              <w:rPr>
                <w:rFonts w:ascii="Times New Roman" w:hAnsi="Times New Roman"/>
              </w:rPr>
            </w:pPr>
            <w:r w:rsidRPr="00B32463">
              <w:rPr>
                <w:rFonts w:ascii="Times New Roman" w:hAnsi="Times New Roman"/>
              </w:rPr>
              <w:t>W związku ze zmianą systemu pobierania opłat egzekucyjnych za podstawę obliczenia opłat wzięto kwoty wyegzekwowane w toku postępowania egzekucyjnego (</w:t>
            </w:r>
            <w:r w:rsidR="00063018" w:rsidRPr="00B32463">
              <w:rPr>
                <w:rFonts w:ascii="Times New Roman" w:hAnsi="Times New Roman"/>
              </w:rPr>
              <w:t>2 438,45 tys.</w:t>
            </w:r>
            <w:r w:rsidRPr="00B32463">
              <w:rPr>
                <w:rFonts w:ascii="Times New Roman" w:hAnsi="Times New Roman"/>
              </w:rPr>
              <w:t xml:space="preserve"> zł) oraz dobrowolnie wpłacone w czasie jego trwania zarówno do wierzyciela</w:t>
            </w:r>
            <w:r w:rsidR="00C130AA">
              <w:rPr>
                <w:rFonts w:ascii="Times New Roman" w:hAnsi="Times New Roman"/>
              </w:rPr>
              <w:t>,</w:t>
            </w:r>
            <w:r w:rsidRPr="00B32463">
              <w:rPr>
                <w:rFonts w:ascii="Times New Roman" w:hAnsi="Times New Roman"/>
              </w:rPr>
              <w:t xml:space="preserve"> jak i organu egzekucyjnego (</w:t>
            </w:r>
            <w:r w:rsidR="00063018" w:rsidRPr="00B32463">
              <w:rPr>
                <w:rFonts w:ascii="Times New Roman" w:hAnsi="Times New Roman"/>
              </w:rPr>
              <w:t xml:space="preserve">775,67 tys. zł). </w:t>
            </w:r>
            <w:r w:rsidR="00966217" w:rsidRPr="00B32463">
              <w:rPr>
                <w:rFonts w:ascii="Times New Roman" w:hAnsi="Times New Roman"/>
              </w:rPr>
              <w:t>W przypadku samorządów</w:t>
            </w:r>
            <w:r w:rsidR="00063018" w:rsidRPr="00B32463">
              <w:rPr>
                <w:rFonts w:ascii="Times New Roman" w:hAnsi="Times New Roman"/>
              </w:rPr>
              <w:t xml:space="preserve"> szacuje się, że</w:t>
            </w:r>
            <w:r w:rsidRPr="00B32463">
              <w:rPr>
                <w:rFonts w:ascii="Times New Roman" w:hAnsi="Times New Roman"/>
              </w:rPr>
              <w:t xml:space="preserve"> wysokość należności</w:t>
            </w:r>
            <w:r w:rsidR="009E0173">
              <w:rPr>
                <w:rFonts w:ascii="Times New Roman" w:hAnsi="Times New Roman"/>
              </w:rPr>
              <w:t>,</w:t>
            </w:r>
            <w:r w:rsidRPr="00B32463">
              <w:rPr>
                <w:rFonts w:ascii="Times New Roman" w:hAnsi="Times New Roman"/>
              </w:rPr>
              <w:t xml:space="preserve"> od których nie będzie naliczana opłata egzekucyjna</w:t>
            </w:r>
            <w:r w:rsidR="006432F7" w:rsidRPr="00B32463">
              <w:rPr>
                <w:rFonts w:ascii="Times New Roman" w:hAnsi="Times New Roman"/>
              </w:rPr>
              <w:t xml:space="preserve"> (szczegółowe omówienie w pkt III.2)</w:t>
            </w:r>
            <w:r w:rsidRPr="00B32463">
              <w:rPr>
                <w:rFonts w:ascii="Times New Roman" w:hAnsi="Times New Roman"/>
              </w:rPr>
              <w:t xml:space="preserve"> </w:t>
            </w:r>
            <w:r w:rsidR="006432F7" w:rsidRPr="00B32463">
              <w:rPr>
                <w:rFonts w:ascii="Times New Roman" w:hAnsi="Times New Roman"/>
              </w:rPr>
              <w:t xml:space="preserve">dotyczy ok. </w:t>
            </w:r>
            <w:r w:rsidRPr="00B32463">
              <w:rPr>
                <w:rFonts w:ascii="Times New Roman" w:hAnsi="Times New Roman"/>
              </w:rPr>
              <w:t>2</w:t>
            </w:r>
            <w:r w:rsidR="006432F7" w:rsidRPr="00B32463">
              <w:rPr>
                <w:rFonts w:ascii="Times New Roman" w:hAnsi="Times New Roman"/>
              </w:rPr>
              <w:t>0</w:t>
            </w:r>
            <w:r w:rsidRPr="00B32463">
              <w:rPr>
                <w:rFonts w:ascii="Times New Roman" w:hAnsi="Times New Roman"/>
              </w:rPr>
              <w:t xml:space="preserve">% należności </w:t>
            </w:r>
            <w:r w:rsidR="00C130AA">
              <w:rPr>
                <w:rFonts w:ascii="Times New Roman" w:hAnsi="Times New Roman"/>
              </w:rPr>
              <w:t xml:space="preserve">egzekwowanych w </w:t>
            </w:r>
            <w:r w:rsidR="006432F7" w:rsidRPr="00B32463">
              <w:rPr>
                <w:rFonts w:ascii="Times New Roman" w:hAnsi="Times New Roman"/>
              </w:rPr>
              <w:t>postępowania</w:t>
            </w:r>
            <w:r w:rsidR="00C130AA">
              <w:rPr>
                <w:rFonts w:ascii="Times New Roman" w:hAnsi="Times New Roman"/>
              </w:rPr>
              <w:t>ch</w:t>
            </w:r>
            <w:r w:rsidR="006432F7" w:rsidRPr="00B32463">
              <w:rPr>
                <w:rFonts w:ascii="Times New Roman" w:hAnsi="Times New Roman"/>
              </w:rPr>
              <w:t xml:space="preserve"> egzekucyjny</w:t>
            </w:r>
            <w:r w:rsidR="00C130AA">
              <w:rPr>
                <w:rFonts w:ascii="Times New Roman" w:hAnsi="Times New Roman"/>
              </w:rPr>
              <w:t>ch</w:t>
            </w:r>
            <w:r w:rsidRPr="00B32463">
              <w:rPr>
                <w:rFonts w:ascii="Times New Roman" w:hAnsi="Times New Roman"/>
              </w:rPr>
              <w:t xml:space="preserve">. </w:t>
            </w:r>
            <w:r w:rsidR="006432F7" w:rsidRPr="00B32463">
              <w:rPr>
                <w:rFonts w:ascii="Times New Roman" w:hAnsi="Times New Roman"/>
              </w:rPr>
              <w:t xml:space="preserve">Zatem </w:t>
            </w:r>
            <w:r w:rsidRPr="00B32463">
              <w:rPr>
                <w:rFonts w:ascii="Times New Roman" w:hAnsi="Times New Roman"/>
              </w:rPr>
              <w:t>po wejściu w</w:t>
            </w:r>
            <w:r w:rsidR="00966217" w:rsidRPr="00B32463">
              <w:rPr>
                <w:rFonts w:ascii="Times New Roman" w:hAnsi="Times New Roman"/>
              </w:rPr>
              <w:t> </w:t>
            </w:r>
            <w:r w:rsidRPr="00B32463">
              <w:rPr>
                <w:rFonts w:ascii="Times New Roman" w:hAnsi="Times New Roman"/>
              </w:rPr>
              <w:t xml:space="preserve">życie nowych przepisów </w:t>
            </w:r>
            <w:r w:rsidR="006432F7" w:rsidRPr="00B32463">
              <w:rPr>
                <w:rFonts w:ascii="Times New Roman" w:hAnsi="Times New Roman"/>
              </w:rPr>
              <w:t xml:space="preserve">średnie </w:t>
            </w:r>
            <w:r w:rsidRPr="00B32463">
              <w:rPr>
                <w:rFonts w:ascii="Times New Roman" w:hAnsi="Times New Roman"/>
              </w:rPr>
              <w:t xml:space="preserve">dochody </w:t>
            </w:r>
            <w:r w:rsidR="006432F7" w:rsidRPr="00B32463">
              <w:rPr>
                <w:rFonts w:ascii="Times New Roman" w:hAnsi="Times New Roman"/>
              </w:rPr>
              <w:t xml:space="preserve">jednostki samorządu terytorialnego </w:t>
            </w:r>
            <w:r w:rsidRPr="00B32463">
              <w:rPr>
                <w:rFonts w:ascii="Times New Roman" w:hAnsi="Times New Roman"/>
              </w:rPr>
              <w:t xml:space="preserve">z tytułu opłaty egzekucyjnej wyniosą ok. </w:t>
            </w:r>
            <w:r w:rsidR="006432F7" w:rsidRPr="00B32463">
              <w:rPr>
                <w:rFonts w:ascii="Times New Roman" w:hAnsi="Times New Roman"/>
              </w:rPr>
              <w:t>226,1 tys.</w:t>
            </w:r>
            <w:r w:rsidRPr="00B32463">
              <w:rPr>
                <w:rFonts w:ascii="Times New Roman" w:hAnsi="Times New Roman"/>
              </w:rPr>
              <w:t xml:space="preserve"> zł i będą wyższe od obecnych o </w:t>
            </w:r>
            <w:r w:rsidR="006432F7" w:rsidRPr="00B32463">
              <w:rPr>
                <w:rFonts w:ascii="Times New Roman" w:hAnsi="Times New Roman"/>
              </w:rPr>
              <w:t>106,72</w:t>
            </w:r>
            <w:r w:rsidRPr="00B32463">
              <w:rPr>
                <w:rFonts w:ascii="Times New Roman" w:hAnsi="Times New Roman"/>
              </w:rPr>
              <w:t xml:space="preserve"> </w:t>
            </w:r>
            <w:r w:rsidR="006432F7" w:rsidRPr="00B32463">
              <w:rPr>
                <w:rFonts w:ascii="Times New Roman" w:hAnsi="Times New Roman"/>
              </w:rPr>
              <w:t>tys.</w:t>
            </w:r>
            <w:r w:rsidRPr="00B32463">
              <w:rPr>
                <w:rFonts w:ascii="Times New Roman" w:hAnsi="Times New Roman"/>
              </w:rPr>
              <w:t xml:space="preserve"> zł. </w:t>
            </w:r>
            <w:r w:rsidR="006432F7" w:rsidRPr="00B32463">
              <w:rPr>
                <w:rFonts w:ascii="Times New Roman" w:hAnsi="Times New Roman"/>
              </w:rPr>
              <w:t>(kalkulacja str. 1</w:t>
            </w:r>
            <w:r w:rsidR="00B854E6">
              <w:rPr>
                <w:rFonts w:ascii="Times New Roman" w:hAnsi="Times New Roman"/>
              </w:rPr>
              <w:t>2</w:t>
            </w:r>
            <w:r w:rsidR="006432F7" w:rsidRPr="00B32463">
              <w:rPr>
                <w:rFonts w:ascii="Times New Roman" w:hAnsi="Times New Roman"/>
              </w:rPr>
              <w:t>, tabele 2</w:t>
            </w:r>
            <w:r w:rsidR="00B854E6">
              <w:rPr>
                <w:rFonts w:ascii="Times New Roman" w:hAnsi="Times New Roman"/>
              </w:rPr>
              <w:t>4</w:t>
            </w:r>
            <w:r w:rsidR="006432F7" w:rsidRPr="00B32463">
              <w:rPr>
                <w:rFonts w:ascii="Times New Roman" w:hAnsi="Times New Roman"/>
              </w:rPr>
              <w:t xml:space="preserve"> i 2</w:t>
            </w:r>
            <w:r w:rsidR="00B854E6">
              <w:rPr>
                <w:rFonts w:ascii="Times New Roman" w:hAnsi="Times New Roman"/>
              </w:rPr>
              <w:t>5</w:t>
            </w:r>
            <w:r w:rsidR="006432F7" w:rsidRPr="00B32463">
              <w:rPr>
                <w:rFonts w:ascii="Times New Roman" w:hAnsi="Times New Roman"/>
              </w:rPr>
              <w:t xml:space="preserve">). W odniesieniu do wszystkich 47 prezydentów miast będących organami egzekucyjnymi kwota wzrostu dochodów z tytułu opłaty </w:t>
            </w:r>
            <w:r w:rsidR="00C130AA">
              <w:rPr>
                <w:rFonts w:ascii="Times New Roman" w:hAnsi="Times New Roman"/>
              </w:rPr>
              <w:t>egzekucyjnej</w:t>
            </w:r>
            <w:r w:rsidR="006432F7" w:rsidRPr="00B32463">
              <w:rPr>
                <w:rFonts w:ascii="Times New Roman" w:hAnsi="Times New Roman"/>
              </w:rPr>
              <w:t xml:space="preserve"> wyniesie 5,17 mln zł (kalkulacja str. 1</w:t>
            </w:r>
            <w:r w:rsidR="00B854E6">
              <w:rPr>
                <w:rFonts w:ascii="Times New Roman" w:hAnsi="Times New Roman"/>
              </w:rPr>
              <w:t>4</w:t>
            </w:r>
            <w:r w:rsidR="006432F7" w:rsidRPr="00B32463">
              <w:rPr>
                <w:rFonts w:ascii="Times New Roman" w:hAnsi="Times New Roman"/>
              </w:rPr>
              <w:t xml:space="preserve"> tabela 2</w:t>
            </w:r>
            <w:r w:rsidR="00B854E6">
              <w:rPr>
                <w:rFonts w:ascii="Times New Roman" w:hAnsi="Times New Roman"/>
              </w:rPr>
              <w:t>9</w:t>
            </w:r>
            <w:r w:rsidR="006432F7" w:rsidRPr="00B32463">
              <w:rPr>
                <w:rFonts w:ascii="Times New Roman" w:hAnsi="Times New Roman"/>
              </w:rPr>
              <w:t>)</w:t>
            </w:r>
            <w:r w:rsidR="00715D52" w:rsidRPr="00B32463">
              <w:rPr>
                <w:rFonts w:ascii="Times New Roman" w:hAnsi="Times New Roman"/>
              </w:rPr>
              <w:t>.</w:t>
            </w:r>
            <w:r w:rsidR="006432F7" w:rsidRPr="00B32463">
              <w:rPr>
                <w:rFonts w:ascii="Times New Roman" w:hAnsi="Times New Roman"/>
              </w:rPr>
              <w:t xml:space="preserve"> </w:t>
            </w:r>
          </w:p>
          <w:p w:rsidR="009E0173" w:rsidRDefault="009E0173" w:rsidP="006943B4">
            <w:pPr>
              <w:spacing w:line="240" w:lineRule="auto"/>
              <w:jc w:val="both"/>
              <w:rPr>
                <w:rFonts w:ascii="Times New Roman" w:hAnsi="Times New Roman"/>
                <w:b/>
              </w:rPr>
            </w:pPr>
          </w:p>
          <w:p w:rsidR="006943B4" w:rsidRPr="00B32463" w:rsidRDefault="006943B4" w:rsidP="006943B4">
            <w:pPr>
              <w:spacing w:line="240" w:lineRule="auto"/>
              <w:jc w:val="both"/>
              <w:rPr>
                <w:rFonts w:ascii="Times New Roman" w:hAnsi="Times New Roman"/>
              </w:rPr>
            </w:pPr>
            <w:r w:rsidRPr="00B32463">
              <w:rPr>
                <w:rFonts w:ascii="Times New Roman" w:hAnsi="Times New Roman"/>
                <w:b/>
              </w:rPr>
              <w:t>3) Wydatki egzekucyjne</w:t>
            </w:r>
          </w:p>
          <w:p w:rsidR="00AF2E52" w:rsidRPr="00B32463" w:rsidRDefault="00715D52" w:rsidP="00852E49">
            <w:pPr>
              <w:spacing w:line="240" w:lineRule="auto"/>
              <w:jc w:val="both"/>
              <w:rPr>
                <w:rFonts w:ascii="Times New Roman" w:hAnsi="Times New Roman"/>
              </w:rPr>
            </w:pPr>
            <w:r w:rsidRPr="00B32463">
              <w:rPr>
                <w:rFonts w:ascii="Times New Roman" w:hAnsi="Times New Roman"/>
              </w:rPr>
              <w:t>Średni w</w:t>
            </w:r>
            <w:r w:rsidR="000E02D1" w:rsidRPr="00B32463">
              <w:rPr>
                <w:rFonts w:ascii="Times New Roman" w:hAnsi="Times New Roman"/>
              </w:rPr>
              <w:t xml:space="preserve">zrost dochodów </w:t>
            </w:r>
            <w:r w:rsidRPr="00B32463">
              <w:rPr>
                <w:rFonts w:ascii="Times New Roman" w:hAnsi="Times New Roman"/>
              </w:rPr>
              <w:t>jednostki samorządu terytorialnego</w:t>
            </w:r>
            <w:r w:rsidR="000E02D1" w:rsidRPr="00B32463">
              <w:rPr>
                <w:rFonts w:ascii="Times New Roman" w:hAnsi="Times New Roman"/>
              </w:rPr>
              <w:t xml:space="preserve"> z tytułu uzupełnienia katalogu wydatków o pozycj</w:t>
            </w:r>
            <w:r w:rsidR="00C130AA">
              <w:rPr>
                <w:rFonts w:ascii="Times New Roman" w:hAnsi="Times New Roman"/>
              </w:rPr>
              <w:t>e</w:t>
            </w:r>
            <w:r w:rsidR="000E02D1" w:rsidRPr="00B32463">
              <w:rPr>
                <w:rFonts w:ascii="Times New Roman" w:hAnsi="Times New Roman"/>
              </w:rPr>
              <w:t xml:space="preserve"> dotycząc</w:t>
            </w:r>
            <w:r w:rsidR="00C130AA">
              <w:rPr>
                <w:rFonts w:ascii="Times New Roman" w:hAnsi="Times New Roman"/>
              </w:rPr>
              <w:t>e</w:t>
            </w:r>
            <w:r w:rsidR="000E02D1" w:rsidRPr="00B32463">
              <w:rPr>
                <w:rFonts w:ascii="Times New Roman" w:hAnsi="Times New Roman"/>
              </w:rPr>
              <w:t xml:space="preserve"> możliwości pokrywania kosztów wysłania korespondencji oszacowano w</w:t>
            </w:r>
            <w:r w:rsidRPr="00B32463">
              <w:rPr>
                <w:rFonts w:ascii="Times New Roman" w:hAnsi="Times New Roman"/>
              </w:rPr>
              <w:t xml:space="preserve"> </w:t>
            </w:r>
            <w:r w:rsidR="000E02D1" w:rsidRPr="00B32463">
              <w:rPr>
                <w:rFonts w:ascii="Times New Roman" w:hAnsi="Times New Roman"/>
              </w:rPr>
              <w:t>oparciu o liczbę dokonywanych zajęć poszczególnych wierzytelności oraz koszty wysłania korespondencji</w:t>
            </w:r>
            <w:r w:rsidR="00C130AA">
              <w:rPr>
                <w:rFonts w:ascii="Times New Roman" w:hAnsi="Times New Roman"/>
              </w:rPr>
              <w:t xml:space="preserve"> </w:t>
            </w:r>
            <w:r w:rsidR="000E02D1" w:rsidRPr="00B32463">
              <w:rPr>
                <w:rFonts w:ascii="Times New Roman" w:hAnsi="Times New Roman"/>
              </w:rPr>
              <w:t xml:space="preserve">za pośrednictwem operatora pocztowego </w:t>
            </w:r>
            <w:r w:rsidR="00C130AA">
              <w:rPr>
                <w:rFonts w:ascii="Times New Roman" w:hAnsi="Times New Roman"/>
              </w:rPr>
              <w:t xml:space="preserve">- </w:t>
            </w:r>
            <w:r w:rsidR="000E02D1" w:rsidRPr="00B32463">
              <w:rPr>
                <w:rFonts w:ascii="Times New Roman" w:hAnsi="Times New Roman"/>
              </w:rPr>
              <w:t>7,8</w:t>
            </w:r>
            <w:r w:rsidR="0072031E">
              <w:rPr>
                <w:rFonts w:ascii="Times New Roman" w:hAnsi="Times New Roman"/>
              </w:rPr>
              <w:t xml:space="preserve"> </w:t>
            </w:r>
            <w:r w:rsidR="000E02D1" w:rsidRPr="00B32463">
              <w:rPr>
                <w:rFonts w:ascii="Times New Roman" w:hAnsi="Times New Roman"/>
              </w:rPr>
              <w:t>zł, czy systemu teleinformatycznego, obsługującego zajęcia wierzytelności z rachunku bankowego -</w:t>
            </w:r>
            <w:r w:rsidR="00C130AA">
              <w:rPr>
                <w:rFonts w:ascii="Times New Roman" w:hAnsi="Times New Roman"/>
              </w:rPr>
              <w:t xml:space="preserve"> 0,5 zł (</w:t>
            </w:r>
            <w:r w:rsidRPr="00B32463">
              <w:rPr>
                <w:rFonts w:ascii="Times New Roman" w:hAnsi="Times New Roman"/>
              </w:rPr>
              <w:t>kalkulacja str. 12 tabela 2</w:t>
            </w:r>
            <w:r w:rsidR="00966217" w:rsidRPr="00B32463">
              <w:rPr>
                <w:rFonts w:ascii="Times New Roman" w:hAnsi="Times New Roman"/>
              </w:rPr>
              <w:t>4</w:t>
            </w:r>
            <w:r w:rsidR="00C130AA">
              <w:rPr>
                <w:rFonts w:ascii="Times New Roman" w:hAnsi="Times New Roman"/>
              </w:rPr>
              <w:t>)</w:t>
            </w:r>
            <w:r w:rsidR="000E02D1" w:rsidRPr="00B32463">
              <w:rPr>
                <w:rFonts w:ascii="Times New Roman" w:hAnsi="Times New Roman"/>
              </w:rPr>
              <w:t xml:space="preserve">. Na podstawie powyższych danych zakłada się, że </w:t>
            </w:r>
            <w:r w:rsidRPr="00B32463">
              <w:rPr>
                <w:rFonts w:ascii="Times New Roman" w:hAnsi="Times New Roman"/>
              </w:rPr>
              <w:t xml:space="preserve">średni </w:t>
            </w:r>
            <w:r w:rsidR="000E02D1" w:rsidRPr="00B32463">
              <w:rPr>
                <w:rFonts w:ascii="Times New Roman" w:hAnsi="Times New Roman"/>
              </w:rPr>
              <w:t xml:space="preserve">roczny wzrost dochodów </w:t>
            </w:r>
            <w:r w:rsidRPr="00B32463">
              <w:rPr>
                <w:rFonts w:ascii="Times New Roman" w:hAnsi="Times New Roman"/>
              </w:rPr>
              <w:t>jednostki samorządu terytorialnego</w:t>
            </w:r>
            <w:r w:rsidR="000E02D1" w:rsidRPr="00B32463">
              <w:rPr>
                <w:rFonts w:ascii="Times New Roman" w:hAnsi="Times New Roman"/>
              </w:rPr>
              <w:t xml:space="preserve"> z</w:t>
            </w:r>
            <w:r w:rsidRPr="00B32463">
              <w:rPr>
                <w:rFonts w:ascii="Times New Roman" w:hAnsi="Times New Roman"/>
              </w:rPr>
              <w:t xml:space="preserve"> </w:t>
            </w:r>
            <w:r w:rsidR="000E02D1" w:rsidRPr="00B32463">
              <w:rPr>
                <w:rFonts w:ascii="Times New Roman" w:hAnsi="Times New Roman"/>
              </w:rPr>
              <w:t xml:space="preserve">tytułu rozszerzenia katalogu wydatków egzekucyjnych wyniesie ok. </w:t>
            </w:r>
            <w:r w:rsidRPr="00B32463">
              <w:rPr>
                <w:rFonts w:ascii="Times New Roman" w:hAnsi="Times New Roman"/>
              </w:rPr>
              <w:t>10</w:t>
            </w:r>
            <w:r w:rsidR="000E02D1" w:rsidRPr="00B32463">
              <w:rPr>
                <w:rFonts w:ascii="Times New Roman" w:hAnsi="Times New Roman"/>
              </w:rPr>
              <w:t xml:space="preserve"> </w:t>
            </w:r>
            <w:r w:rsidRPr="00B32463">
              <w:rPr>
                <w:rFonts w:ascii="Times New Roman" w:hAnsi="Times New Roman"/>
              </w:rPr>
              <w:t>tys.</w:t>
            </w:r>
            <w:r w:rsidR="00C130AA">
              <w:rPr>
                <w:rFonts w:ascii="Times New Roman" w:hAnsi="Times New Roman"/>
              </w:rPr>
              <w:t xml:space="preserve"> zł </w:t>
            </w:r>
            <w:r w:rsidRPr="00B32463">
              <w:rPr>
                <w:rFonts w:ascii="Times New Roman" w:hAnsi="Times New Roman"/>
              </w:rPr>
              <w:t>(kalkulacja str. 1</w:t>
            </w:r>
            <w:r w:rsidR="0072031E">
              <w:rPr>
                <w:rFonts w:ascii="Times New Roman" w:hAnsi="Times New Roman"/>
              </w:rPr>
              <w:t>3</w:t>
            </w:r>
            <w:r w:rsidRPr="00B32463">
              <w:rPr>
                <w:rFonts w:ascii="Times New Roman" w:hAnsi="Times New Roman"/>
              </w:rPr>
              <w:t xml:space="preserve"> tabele 2</w:t>
            </w:r>
            <w:r w:rsidR="0072031E">
              <w:rPr>
                <w:rFonts w:ascii="Times New Roman" w:hAnsi="Times New Roman"/>
              </w:rPr>
              <w:t>7</w:t>
            </w:r>
            <w:r w:rsidRPr="00B32463">
              <w:rPr>
                <w:rFonts w:ascii="Times New Roman" w:hAnsi="Times New Roman"/>
              </w:rPr>
              <w:t xml:space="preserve"> i 2</w:t>
            </w:r>
            <w:r w:rsidR="0072031E">
              <w:rPr>
                <w:rFonts w:ascii="Times New Roman" w:hAnsi="Times New Roman"/>
              </w:rPr>
              <w:t>8</w:t>
            </w:r>
            <w:r w:rsidRPr="00B32463">
              <w:rPr>
                <w:rFonts w:ascii="Times New Roman" w:hAnsi="Times New Roman"/>
              </w:rPr>
              <w:t>)</w:t>
            </w:r>
            <w:r w:rsidR="00852E49" w:rsidRPr="00B32463">
              <w:rPr>
                <w:rFonts w:ascii="Times New Roman" w:hAnsi="Times New Roman"/>
              </w:rPr>
              <w:t xml:space="preserve">. W odniesieniu do wszystkich 47 prezydentów miast będących organami egzekucyjnymi kwota wzrostu dochodów z tytułu </w:t>
            </w:r>
            <w:r w:rsidR="00BA423F" w:rsidRPr="00B32463">
              <w:rPr>
                <w:rFonts w:ascii="Times New Roman" w:hAnsi="Times New Roman"/>
              </w:rPr>
              <w:t>rozszerzenia katalogu wydatków egzekucyjnych</w:t>
            </w:r>
            <w:r w:rsidR="00852E49" w:rsidRPr="00B32463">
              <w:rPr>
                <w:rFonts w:ascii="Times New Roman" w:hAnsi="Times New Roman"/>
              </w:rPr>
              <w:t xml:space="preserve"> wyniesie 49</w:t>
            </w:r>
            <w:r w:rsidR="00C22CE3">
              <w:rPr>
                <w:rFonts w:ascii="Times New Roman" w:hAnsi="Times New Roman"/>
              </w:rPr>
              <w:t>0</w:t>
            </w:r>
            <w:r w:rsidR="00852E49" w:rsidRPr="00B32463">
              <w:rPr>
                <w:rFonts w:ascii="Times New Roman" w:hAnsi="Times New Roman"/>
              </w:rPr>
              <w:t xml:space="preserve"> tys. zł (kalkulacja str. 1</w:t>
            </w:r>
            <w:r w:rsidR="0072031E">
              <w:rPr>
                <w:rFonts w:ascii="Times New Roman" w:hAnsi="Times New Roman"/>
              </w:rPr>
              <w:t>4</w:t>
            </w:r>
            <w:r w:rsidR="00852E49" w:rsidRPr="00B32463">
              <w:rPr>
                <w:rFonts w:ascii="Times New Roman" w:hAnsi="Times New Roman"/>
              </w:rPr>
              <w:t xml:space="preserve"> tabela 2</w:t>
            </w:r>
            <w:r w:rsidR="00C5202F">
              <w:rPr>
                <w:rFonts w:ascii="Times New Roman" w:hAnsi="Times New Roman"/>
              </w:rPr>
              <w:t>9</w:t>
            </w:r>
            <w:r w:rsidR="00852E49" w:rsidRPr="00B32463">
              <w:rPr>
                <w:rFonts w:ascii="Times New Roman" w:hAnsi="Times New Roman"/>
              </w:rPr>
              <w:t>).</w:t>
            </w:r>
          </w:p>
          <w:p w:rsidR="009E0173" w:rsidRDefault="009E0173" w:rsidP="00DB0A78">
            <w:pPr>
              <w:spacing w:line="240" w:lineRule="auto"/>
              <w:jc w:val="both"/>
              <w:rPr>
                <w:rFonts w:ascii="Times New Roman" w:hAnsi="Times New Roman"/>
                <w:b/>
              </w:rPr>
            </w:pPr>
          </w:p>
          <w:p w:rsidR="00DB0A78" w:rsidRPr="00B32463" w:rsidRDefault="00DB0A78" w:rsidP="00DB0A78">
            <w:pPr>
              <w:spacing w:line="240" w:lineRule="auto"/>
              <w:jc w:val="both"/>
              <w:rPr>
                <w:rFonts w:ascii="Times New Roman" w:hAnsi="Times New Roman"/>
                <w:b/>
              </w:rPr>
            </w:pPr>
            <w:r w:rsidRPr="00B32463">
              <w:rPr>
                <w:rFonts w:ascii="Times New Roman" w:hAnsi="Times New Roman"/>
                <w:b/>
              </w:rPr>
              <w:t>4) Łączne dane dotyczące wpływu na jednostki samorządu terytorialnego</w:t>
            </w:r>
          </w:p>
          <w:p w:rsidR="00DB0A78" w:rsidRDefault="00D31DCC" w:rsidP="00457C5E">
            <w:pPr>
              <w:spacing w:line="240" w:lineRule="auto"/>
              <w:jc w:val="both"/>
              <w:rPr>
                <w:rFonts w:ascii="Times New Roman" w:hAnsi="Times New Roman"/>
              </w:rPr>
            </w:pPr>
            <w:r w:rsidRPr="00B32463">
              <w:rPr>
                <w:rFonts w:ascii="Times New Roman" w:hAnsi="Times New Roman"/>
              </w:rPr>
              <w:t>Podsumowując</w:t>
            </w:r>
            <w:r w:rsidR="009E0173">
              <w:rPr>
                <w:rFonts w:ascii="Times New Roman" w:hAnsi="Times New Roman"/>
              </w:rPr>
              <w:t>,</w:t>
            </w:r>
            <w:r w:rsidRPr="00B32463">
              <w:rPr>
                <w:rFonts w:ascii="Times New Roman" w:hAnsi="Times New Roman"/>
              </w:rPr>
              <w:t xml:space="preserve"> łączny wzrost rocznego dochodu wyniesie </w:t>
            </w:r>
            <w:r w:rsidR="00CF3845">
              <w:rPr>
                <w:rFonts w:ascii="Times New Roman" w:hAnsi="Times New Roman"/>
              </w:rPr>
              <w:t>10,36</w:t>
            </w:r>
            <w:r w:rsidRPr="00B32463">
              <w:rPr>
                <w:rFonts w:ascii="Times New Roman" w:hAnsi="Times New Roman"/>
              </w:rPr>
              <w:t> mln zł</w:t>
            </w:r>
            <w:r w:rsidR="00457C5E" w:rsidRPr="00B32463">
              <w:rPr>
                <w:rFonts w:ascii="Times New Roman" w:hAnsi="Times New Roman"/>
              </w:rPr>
              <w:t xml:space="preserve"> (kalkulacja str. 1</w:t>
            </w:r>
            <w:r w:rsidR="00CF3845">
              <w:rPr>
                <w:rFonts w:ascii="Times New Roman" w:hAnsi="Times New Roman"/>
              </w:rPr>
              <w:t>4</w:t>
            </w:r>
            <w:r w:rsidR="00457C5E" w:rsidRPr="00B32463">
              <w:rPr>
                <w:rFonts w:ascii="Times New Roman" w:hAnsi="Times New Roman"/>
              </w:rPr>
              <w:t xml:space="preserve"> tabela 2</w:t>
            </w:r>
            <w:r w:rsidR="00CF3845">
              <w:rPr>
                <w:rFonts w:ascii="Times New Roman" w:hAnsi="Times New Roman"/>
              </w:rPr>
              <w:t>9</w:t>
            </w:r>
            <w:r w:rsidR="00457C5E" w:rsidRPr="00B32463">
              <w:rPr>
                <w:rFonts w:ascii="Times New Roman" w:hAnsi="Times New Roman"/>
              </w:rPr>
              <w:t>)</w:t>
            </w:r>
            <w:r w:rsidRPr="00B32463">
              <w:rPr>
                <w:rFonts w:ascii="Times New Roman" w:hAnsi="Times New Roman"/>
              </w:rPr>
              <w:t xml:space="preserve">. Jednak biorąc pod uwagę średni czas trwania postępowania egzekucyjnego należy przyjąć, iż pełna wysokość wzrostu dochodów osiągana będzie na przestrzeni kilku lat. Należy zauważyć, iż w egzekucji znajdują się tytułu wykonawcze, do których koszty egzekucyjne zostały naliczone przed dniem wejścia w życie projektowanych przepisów. Biorąc pod uwagę powyższe zakłada się, że pełna wysokość wzrostu dochodów </w:t>
            </w:r>
            <w:r w:rsidR="005A2690" w:rsidRPr="00B32463">
              <w:rPr>
                <w:rFonts w:ascii="Times New Roman" w:hAnsi="Times New Roman"/>
              </w:rPr>
              <w:t>jednostek samorządu terytorialnego</w:t>
            </w:r>
            <w:r w:rsidRPr="00B32463">
              <w:rPr>
                <w:rFonts w:ascii="Times New Roman" w:hAnsi="Times New Roman"/>
              </w:rPr>
              <w:t xml:space="preserve"> z</w:t>
            </w:r>
            <w:r w:rsidR="005A2690" w:rsidRPr="00B32463">
              <w:rPr>
                <w:rFonts w:ascii="Times New Roman" w:hAnsi="Times New Roman"/>
              </w:rPr>
              <w:t xml:space="preserve"> </w:t>
            </w:r>
            <w:r w:rsidRPr="00B32463">
              <w:rPr>
                <w:rFonts w:ascii="Times New Roman" w:hAnsi="Times New Roman"/>
              </w:rPr>
              <w:t xml:space="preserve">tytułu zmiany regulacji w zakresie kosztów egzekucyjnych zostanie osiągnięta w trzecim roku obowiązywania ustawy (kalkulacja str. </w:t>
            </w:r>
            <w:r w:rsidR="005A2690" w:rsidRPr="00B32463">
              <w:rPr>
                <w:rFonts w:ascii="Times New Roman" w:hAnsi="Times New Roman"/>
              </w:rPr>
              <w:t>1</w:t>
            </w:r>
            <w:r w:rsidR="00CF3845">
              <w:rPr>
                <w:rFonts w:ascii="Times New Roman" w:hAnsi="Times New Roman"/>
              </w:rPr>
              <w:t>4</w:t>
            </w:r>
            <w:r w:rsidRPr="00B32463">
              <w:rPr>
                <w:rFonts w:ascii="Times New Roman" w:hAnsi="Times New Roman"/>
              </w:rPr>
              <w:t xml:space="preserve"> tabela </w:t>
            </w:r>
            <w:r w:rsidR="00CF3845">
              <w:rPr>
                <w:rFonts w:ascii="Times New Roman" w:hAnsi="Times New Roman"/>
              </w:rPr>
              <w:t>30</w:t>
            </w:r>
            <w:r w:rsidRPr="00B32463">
              <w:rPr>
                <w:rFonts w:ascii="Times New Roman" w:hAnsi="Times New Roman"/>
              </w:rPr>
              <w:t xml:space="preserve">).   </w:t>
            </w:r>
          </w:p>
          <w:p w:rsidR="00C22CE3" w:rsidRDefault="00C22CE3" w:rsidP="00457C5E">
            <w:pPr>
              <w:spacing w:line="240" w:lineRule="auto"/>
              <w:jc w:val="both"/>
              <w:rPr>
                <w:rFonts w:ascii="Times New Roman" w:hAnsi="Times New Roman"/>
              </w:rPr>
            </w:pPr>
          </w:p>
          <w:p w:rsidR="00C22CE3" w:rsidRPr="00B32463" w:rsidRDefault="00C22CE3" w:rsidP="00C22CE3">
            <w:pPr>
              <w:spacing w:line="240" w:lineRule="auto"/>
              <w:ind w:left="211" w:hanging="211"/>
              <w:jc w:val="both"/>
              <w:rPr>
                <w:rFonts w:ascii="Times New Roman" w:hAnsi="Times New Roman"/>
                <w:b/>
                <w:u w:val="single"/>
              </w:rPr>
            </w:pPr>
            <w:r w:rsidRPr="00B32463">
              <w:rPr>
                <w:rFonts w:ascii="Times New Roman" w:hAnsi="Times New Roman"/>
                <w:b/>
                <w:u w:val="single"/>
              </w:rPr>
              <w:t xml:space="preserve">IV. </w:t>
            </w:r>
            <w:r>
              <w:rPr>
                <w:rFonts w:ascii="Times New Roman" w:hAnsi="Times New Roman"/>
                <w:b/>
                <w:u w:val="single"/>
              </w:rPr>
              <w:t>Zakład Ubezpieczeń Społecznych</w:t>
            </w:r>
          </w:p>
          <w:p w:rsidR="00C22CE3" w:rsidRPr="00B32463" w:rsidRDefault="00C22CE3" w:rsidP="00C22CE3">
            <w:pPr>
              <w:spacing w:line="240" w:lineRule="auto"/>
              <w:jc w:val="both"/>
              <w:rPr>
                <w:rFonts w:ascii="Times New Roman" w:hAnsi="Times New Roman"/>
              </w:rPr>
            </w:pPr>
            <w:r w:rsidRPr="00B32463">
              <w:rPr>
                <w:rFonts w:ascii="Times New Roman" w:hAnsi="Times New Roman"/>
                <w:b/>
              </w:rPr>
              <w:t>1)</w:t>
            </w:r>
            <w:r w:rsidRPr="00B32463">
              <w:rPr>
                <w:rFonts w:ascii="Times New Roman" w:hAnsi="Times New Roman"/>
              </w:rPr>
              <w:t xml:space="preserve"> </w:t>
            </w:r>
            <w:r w:rsidRPr="00B32463">
              <w:rPr>
                <w:rFonts w:ascii="Times New Roman" w:hAnsi="Times New Roman"/>
                <w:b/>
              </w:rPr>
              <w:t>Opłata manipulacyjna</w:t>
            </w:r>
            <w:r w:rsidRPr="00B32463">
              <w:rPr>
                <w:rFonts w:ascii="Times New Roman" w:hAnsi="Times New Roman"/>
              </w:rPr>
              <w:t xml:space="preserve"> </w:t>
            </w:r>
          </w:p>
          <w:p w:rsidR="00C22CE3" w:rsidRDefault="00C22CE3" w:rsidP="00C22CE3">
            <w:pPr>
              <w:spacing w:line="240" w:lineRule="auto"/>
              <w:jc w:val="both"/>
              <w:rPr>
                <w:rFonts w:ascii="Times New Roman" w:hAnsi="Times New Roman"/>
              </w:rPr>
            </w:pPr>
            <w:r w:rsidRPr="00B32463">
              <w:rPr>
                <w:rFonts w:ascii="Times New Roman" w:hAnsi="Times New Roman"/>
              </w:rPr>
              <w:t xml:space="preserve">Obecnie dochody budżetu </w:t>
            </w:r>
            <w:r>
              <w:rPr>
                <w:rFonts w:ascii="Times New Roman" w:hAnsi="Times New Roman"/>
              </w:rPr>
              <w:t>ZUS</w:t>
            </w:r>
            <w:r w:rsidRPr="00B32463">
              <w:rPr>
                <w:rFonts w:ascii="Times New Roman" w:hAnsi="Times New Roman"/>
              </w:rPr>
              <w:t xml:space="preserve"> uzyskiwane z tytułu opłaty manipulacyjnej </w:t>
            </w:r>
            <w:r>
              <w:rPr>
                <w:rFonts w:ascii="Times New Roman" w:hAnsi="Times New Roman"/>
              </w:rPr>
              <w:t xml:space="preserve">szacunkowo </w:t>
            </w:r>
            <w:r w:rsidRPr="00B32463">
              <w:rPr>
                <w:rFonts w:ascii="Times New Roman" w:hAnsi="Times New Roman"/>
              </w:rPr>
              <w:t xml:space="preserve">wynoszą rocznie ok. </w:t>
            </w:r>
            <w:r>
              <w:rPr>
                <w:rFonts w:ascii="Times New Roman" w:hAnsi="Times New Roman"/>
              </w:rPr>
              <w:t>8,70</w:t>
            </w:r>
            <w:r w:rsidRPr="00B32463">
              <w:rPr>
                <w:rFonts w:ascii="Times New Roman" w:hAnsi="Times New Roman"/>
              </w:rPr>
              <w:t xml:space="preserve"> mln zł. Biorąc pod uwagę, iż suma należności </w:t>
            </w:r>
            <w:r>
              <w:rPr>
                <w:rFonts w:ascii="Times New Roman" w:hAnsi="Times New Roman"/>
              </w:rPr>
              <w:t>egzekwowanych w</w:t>
            </w:r>
            <w:r w:rsidR="00043D78">
              <w:rPr>
                <w:rFonts w:ascii="Times New Roman" w:hAnsi="Times New Roman"/>
              </w:rPr>
              <w:t> </w:t>
            </w:r>
            <w:r>
              <w:rPr>
                <w:rFonts w:ascii="Times New Roman" w:hAnsi="Times New Roman"/>
              </w:rPr>
              <w:t>ad</w:t>
            </w:r>
            <w:r w:rsidRPr="00B32463">
              <w:rPr>
                <w:rFonts w:ascii="Times New Roman" w:hAnsi="Times New Roman"/>
              </w:rPr>
              <w:t>ministracyjny</w:t>
            </w:r>
            <w:r>
              <w:rPr>
                <w:rFonts w:ascii="Times New Roman" w:hAnsi="Times New Roman"/>
              </w:rPr>
              <w:t>ch</w:t>
            </w:r>
            <w:r w:rsidRPr="00B32463">
              <w:rPr>
                <w:rFonts w:ascii="Times New Roman" w:hAnsi="Times New Roman"/>
              </w:rPr>
              <w:t xml:space="preserve"> postępowania</w:t>
            </w:r>
            <w:r>
              <w:rPr>
                <w:rFonts w:ascii="Times New Roman" w:hAnsi="Times New Roman"/>
              </w:rPr>
              <w:t>ch</w:t>
            </w:r>
            <w:r w:rsidRPr="00B32463">
              <w:rPr>
                <w:rFonts w:ascii="Times New Roman" w:hAnsi="Times New Roman"/>
              </w:rPr>
              <w:t xml:space="preserve"> egzekucyjny</w:t>
            </w:r>
            <w:r>
              <w:rPr>
                <w:rFonts w:ascii="Times New Roman" w:hAnsi="Times New Roman"/>
              </w:rPr>
              <w:t>ch przez</w:t>
            </w:r>
            <w:r w:rsidRPr="00B32463">
              <w:rPr>
                <w:rFonts w:ascii="Times New Roman" w:hAnsi="Times New Roman"/>
              </w:rPr>
              <w:t xml:space="preserve"> </w:t>
            </w:r>
            <w:r>
              <w:rPr>
                <w:rFonts w:ascii="Times New Roman" w:hAnsi="Times New Roman"/>
              </w:rPr>
              <w:t>dyrektorów oddziałów ZUS</w:t>
            </w:r>
            <w:r w:rsidRPr="00B32463">
              <w:rPr>
                <w:rFonts w:ascii="Times New Roman" w:hAnsi="Times New Roman"/>
              </w:rPr>
              <w:t xml:space="preserve"> wynosi ok. </w:t>
            </w:r>
            <w:r>
              <w:rPr>
                <w:rFonts w:ascii="Times New Roman" w:hAnsi="Times New Roman"/>
              </w:rPr>
              <w:t>5,43</w:t>
            </w:r>
            <w:r w:rsidRPr="00B32463">
              <w:rPr>
                <w:rFonts w:ascii="Times New Roman" w:hAnsi="Times New Roman"/>
              </w:rPr>
              <w:t xml:space="preserve"> mld zł</w:t>
            </w:r>
            <w:r>
              <w:rPr>
                <w:rFonts w:ascii="Times New Roman" w:hAnsi="Times New Roman"/>
              </w:rPr>
              <w:t>,</w:t>
            </w:r>
            <w:r w:rsidRPr="00B32463">
              <w:rPr>
                <w:rFonts w:ascii="Times New Roman" w:hAnsi="Times New Roman"/>
              </w:rPr>
              <w:t xml:space="preserve"> wysokość naliczonej opłaty manipulacyjnej to obecnie ok. </w:t>
            </w:r>
            <w:r>
              <w:rPr>
                <w:rFonts w:ascii="Times New Roman" w:hAnsi="Times New Roman"/>
              </w:rPr>
              <w:t>54,35</w:t>
            </w:r>
            <w:r w:rsidRPr="00B32463">
              <w:rPr>
                <w:rFonts w:ascii="Times New Roman" w:hAnsi="Times New Roman"/>
              </w:rPr>
              <w:t xml:space="preserve"> mln zł (kalkulacja str. </w:t>
            </w:r>
            <w:r w:rsidR="00C41EE4">
              <w:rPr>
                <w:rFonts w:ascii="Times New Roman" w:hAnsi="Times New Roman"/>
              </w:rPr>
              <w:t>16</w:t>
            </w:r>
            <w:r w:rsidRPr="00B32463">
              <w:rPr>
                <w:rFonts w:ascii="Times New Roman" w:hAnsi="Times New Roman"/>
              </w:rPr>
              <w:t xml:space="preserve"> tabela </w:t>
            </w:r>
            <w:r w:rsidR="00C41EE4">
              <w:rPr>
                <w:rFonts w:ascii="Times New Roman" w:hAnsi="Times New Roman"/>
              </w:rPr>
              <w:t>33</w:t>
            </w:r>
            <w:r w:rsidRPr="00B32463">
              <w:rPr>
                <w:rFonts w:ascii="Times New Roman" w:hAnsi="Times New Roman"/>
              </w:rPr>
              <w:t xml:space="preserve">). </w:t>
            </w:r>
            <w:r>
              <w:rPr>
                <w:rFonts w:ascii="Times New Roman" w:hAnsi="Times New Roman"/>
              </w:rPr>
              <w:t xml:space="preserve">Zgodnie z danymi ZUS efektywność </w:t>
            </w:r>
            <w:r w:rsidRPr="00B32463">
              <w:rPr>
                <w:rFonts w:ascii="Times New Roman" w:hAnsi="Times New Roman"/>
              </w:rPr>
              <w:t xml:space="preserve">egzekucji wynosi ok. </w:t>
            </w:r>
            <w:r>
              <w:rPr>
                <w:rFonts w:ascii="Times New Roman" w:hAnsi="Times New Roman"/>
              </w:rPr>
              <w:t>16%.</w:t>
            </w:r>
            <w:r w:rsidRPr="00B32463">
              <w:rPr>
                <w:rFonts w:ascii="Times New Roman" w:hAnsi="Times New Roman"/>
              </w:rPr>
              <w:t xml:space="preserve"> </w:t>
            </w:r>
          </w:p>
          <w:p w:rsidR="00C22CE3" w:rsidRDefault="00C22CE3" w:rsidP="00C22CE3">
            <w:pPr>
              <w:spacing w:line="240" w:lineRule="auto"/>
              <w:jc w:val="both"/>
              <w:rPr>
                <w:rFonts w:ascii="Times New Roman" w:hAnsi="Times New Roman"/>
              </w:rPr>
            </w:pPr>
            <w:r w:rsidRPr="00B32463">
              <w:rPr>
                <w:rFonts w:ascii="Times New Roman" w:hAnsi="Times New Roman"/>
              </w:rPr>
              <w:t xml:space="preserve">Ze względu jednak na zmniejszenie wpływu tytułów wykonawczych obejmujących należności do 500 zł (szczegółowo omówiono w pkt III. 1) przyjmuje się, iż efektywność egzekucji opłaty </w:t>
            </w:r>
            <w:r w:rsidRPr="00B32463">
              <w:rPr>
                <w:rFonts w:ascii="Times New Roman" w:hAnsi="Times New Roman"/>
              </w:rPr>
              <w:lastRenderedPageBreak/>
              <w:t xml:space="preserve">manipulacyjnej spadnie o ok. </w:t>
            </w:r>
            <w:r>
              <w:rPr>
                <w:rFonts w:ascii="Times New Roman" w:hAnsi="Times New Roman"/>
              </w:rPr>
              <w:t>5</w:t>
            </w:r>
            <w:r w:rsidRPr="00B32463">
              <w:rPr>
                <w:rFonts w:ascii="Times New Roman" w:hAnsi="Times New Roman"/>
              </w:rPr>
              <w:t xml:space="preserve">% i wyniesie </w:t>
            </w:r>
            <w:r>
              <w:rPr>
                <w:rFonts w:ascii="Times New Roman" w:hAnsi="Times New Roman"/>
              </w:rPr>
              <w:t>11</w:t>
            </w:r>
            <w:r w:rsidRPr="00B32463">
              <w:rPr>
                <w:rFonts w:ascii="Times New Roman" w:hAnsi="Times New Roman"/>
              </w:rPr>
              <w:t>%.</w:t>
            </w:r>
          </w:p>
          <w:p w:rsidR="00C22CE3" w:rsidRPr="00B32463" w:rsidRDefault="00C22CE3" w:rsidP="00E7094C">
            <w:pPr>
              <w:spacing w:line="240" w:lineRule="auto"/>
              <w:jc w:val="both"/>
              <w:rPr>
                <w:rFonts w:ascii="Times New Roman" w:hAnsi="Times New Roman"/>
              </w:rPr>
            </w:pPr>
            <w:r w:rsidRPr="00B32463">
              <w:rPr>
                <w:rFonts w:ascii="Times New Roman" w:hAnsi="Times New Roman"/>
              </w:rPr>
              <w:t xml:space="preserve">Biorąc pod uwagę powyższe przyjmuje się, iż szacowana kwota dochodów </w:t>
            </w:r>
            <w:r>
              <w:rPr>
                <w:rFonts w:ascii="Times New Roman" w:hAnsi="Times New Roman"/>
              </w:rPr>
              <w:t>ZUS</w:t>
            </w:r>
            <w:r w:rsidRPr="00B32463">
              <w:rPr>
                <w:rFonts w:ascii="Times New Roman" w:hAnsi="Times New Roman"/>
              </w:rPr>
              <w:t xml:space="preserve"> z tytułu opłaty manipulacyjnej wyniesie </w:t>
            </w:r>
            <w:r w:rsidR="001C302A">
              <w:rPr>
                <w:rFonts w:ascii="Times New Roman" w:hAnsi="Times New Roman"/>
              </w:rPr>
              <w:t>23,73</w:t>
            </w:r>
            <w:r>
              <w:rPr>
                <w:rFonts w:ascii="Times New Roman" w:hAnsi="Times New Roman"/>
              </w:rPr>
              <w:t xml:space="preserve"> mln</w:t>
            </w:r>
            <w:r w:rsidRPr="00B32463">
              <w:rPr>
                <w:rFonts w:ascii="Times New Roman" w:hAnsi="Times New Roman"/>
              </w:rPr>
              <w:t xml:space="preserve"> z</w:t>
            </w:r>
            <w:r>
              <w:rPr>
                <w:rFonts w:ascii="Times New Roman" w:hAnsi="Times New Roman"/>
              </w:rPr>
              <w:t xml:space="preserve">ł (kalkulacja str. </w:t>
            </w:r>
            <w:r w:rsidR="00E7094C">
              <w:rPr>
                <w:rFonts w:ascii="Times New Roman" w:hAnsi="Times New Roman"/>
              </w:rPr>
              <w:t>1</w:t>
            </w:r>
            <w:r w:rsidR="001C302A">
              <w:rPr>
                <w:rFonts w:ascii="Times New Roman" w:hAnsi="Times New Roman"/>
              </w:rPr>
              <w:t>7</w:t>
            </w:r>
            <w:r>
              <w:rPr>
                <w:rFonts w:ascii="Times New Roman" w:hAnsi="Times New Roman"/>
              </w:rPr>
              <w:t xml:space="preserve"> tabela </w:t>
            </w:r>
            <w:r w:rsidR="00E7094C">
              <w:rPr>
                <w:rFonts w:ascii="Times New Roman" w:hAnsi="Times New Roman"/>
              </w:rPr>
              <w:t>3</w:t>
            </w:r>
            <w:r w:rsidR="001C302A">
              <w:rPr>
                <w:rFonts w:ascii="Times New Roman" w:hAnsi="Times New Roman"/>
              </w:rPr>
              <w:t>4</w:t>
            </w:r>
            <w:r>
              <w:rPr>
                <w:rFonts w:ascii="Times New Roman" w:hAnsi="Times New Roman"/>
              </w:rPr>
              <w:t>), c</w:t>
            </w:r>
            <w:r w:rsidRPr="00B32463">
              <w:rPr>
                <w:rFonts w:ascii="Times New Roman" w:hAnsi="Times New Roman"/>
              </w:rPr>
              <w:t xml:space="preserve">o oznacza wzrost dochodów </w:t>
            </w:r>
            <w:r w:rsidR="00E7094C">
              <w:rPr>
                <w:rFonts w:ascii="Times New Roman" w:hAnsi="Times New Roman"/>
              </w:rPr>
              <w:t>ZUS</w:t>
            </w:r>
            <w:r w:rsidRPr="00B32463">
              <w:rPr>
                <w:rFonts w:ascii="Times New Roman" w:hAnsi="Times New Roman"/>
              </w:rPr>
              <w:t xml:space="preserve"> z tego tytułu o ok. </w:t>
            </w:r>
            <w:r w:rsidR="00E7094C">
              <w:rPr>
                <w:rFonts w:ascii="Times New Roman" w:hAnsi="Times New Roman"/>
              </w:rPr>
              <w:t>1</w:t>
            </w:r>
            <w:r w:rsidR="001C302A">
              <w:rPr>
                <w:rFonts w:ascii="Times New Roman" w:hAnsi="Times New Roman"/>
              </w:rPr>
              <w:t>5</w:t>
            </w:r>
            <w:r w:rsidR="00E7094C">
              <w:rPr>
                <w:rFonts w:ascii="Times New Roman" w:hAnsi="Times New Roman"/>
              </w:rPr>
              <w:t>,03 mln</w:t>
            </w:r>
            <w:r w:rsidRPr="00B32463">
              <w:rPr>
                <w:rFonts w:ascii="Times New Roman" w:hAnsi="Times New Roman"/>
              </w:rPr>
              <w:t xml:space="preserve"> zł. </w:t>
            </w:r>
          </w:p>
          <w:p w:rsidR="009E0173" w:rsidRDefault="009E0173" w:rsidP="00C22CE3">
            <w:pPr>
              <w:spacing w:line="240" w:lineRule="auto"/>
              <w:jc w:val="both"/>
              <w:rPr>
                <w:rFonts w:ascii="Times New Roman" w:hAnsi="Times New Roman"/>
                <w:b/>
              </w:rPr>
            </w:pPr>
          </w:p>
          <w:p w:rsidR="00C22CE3" w:rsidRPr="00B32463" w:rsidRDefault="00C22CE3" w:rsidP="00C22CE3">
            <w:pPr>
              <w:spacing w:line="240" w:lineRule="auto"/>
              <w:jc w:val="both"/>
              <w:rPr>
                <w:rFonts w:ascii="Times New Roman" w:hAnsi="Times New Roman"/>
              </w:rPr>
            </w:pPr>
            <w:r w:rsidRPr="00B32463">
              <w:rPr>
                <w:rFonts w:ascii="Times New Roman" w:hAnsi="Times New Roman"/>
                <w:b/>
              </w:rPr>
              <w:t>2) Opłata egzekucyjna</w:t>
            </w:r>
          </w:p>
          <w:p w:rsidR="00C22CE3" w:rsidRPr="00B32463" w:rsidRDefault="00C22CE3" w:rsidP="00C22CE3">
            <w:pPr>
              <w:spacing w:line="240" w:lineRule="auto"/>
              <w:jc w:val="both"/>
              <w:rPr>
                <w:rFonts w:ascii="Times New Roman" w:hAnsi="Times New Roman"/>
              </w:rPr>
            </w:pPr>
            <w:r w:rsidRPr="00B32463">
              <w:rPr>
                <w:rFonts w:ascii="Times New Roman" w:hAnsi="Times New Roman"/>
              </w:rPr>
              <w:t xml:space="preserve">Obecnie dochody </w:t>
            </w:r>
            <w:r w:rsidR="00A235BA">
              <w:rPr>
                <w:rFonts w:ascii="Times New Roman" w:hAnsi="Times New Roman"/>
              </w:rPr>
              <w:t>ZUS</w:t>
            </w:r>
            <w:r w:rsidRPr="00B32463">
              <w:rPr>
                <w:rFonts w:ascii="Times New Roman" w:hAnsi="Times New Roman"/>
              </w:rPr>
              <w:t xml:space="preserve"> uzyskiwane z tytułu opłat egzekucyjnych wynoszą rocznie ok. </w:t>
            </w:r>
            <w:r w:rsidR="00A235BA">
              <w:rPr>
                <w:rFonts w:ascii="Times New Roman" w:hAnsi="Times New Roman"/>
              </w:rPr>
              <w:t>69,75</w:t>
            </w:r>
            <w:r w:rsidR="009E0173">
              <w:rPr>
                <w:rFonts w:ascii="Times New Roman" w:hAnsi="Times New Roman"/>
              </w:rPr>
              <w:t xml:space="preserve"> mln zł (</w:t>
            </w:r>
            <w:r w:rsidRPr="00B32463">
              <w:rPr>
                <w:rFonts w:ascii="Times New Roman" w:hAnsi="Times New Roman"/>
              </w:rPr>
              <w:t xml:space="preserve">kalkulacja str. </w:t>
            </w:r>
            <w:r w:rsidR="00A235BA">
              <w:rPr>
                <w:rFonts w:ascii="Times New Roman" w:hAnsi="Times New Roman"/>
              </w:rPr>
              <w:t>1</w:t>
            </w:r>
            <w:r w:rsidR="005261D1">
              <w:rPr>
                <w:rFonts w:ascii="Times New Roman" w:hAnsi="Times New Roman"/>
              </w:rPr>
              <w:t>8</w:t>
            </w:r>
            <w:r w:rsidRPr="00B32463">
              <w:rPr>
                <w:rFonts w:ascii="Times New Roman" w:hAnsi="Times New Roman"/>
              </w:rPr>
              <w:t xml:space="preserve"> tabela </w:t>
            </w:r>
            <w:r w:rsidR="005261D1">
              <w:rPr>
                <w:rFonts w:ascii="Times New Roman" w:hAnsi="Times New Roman"/>
              </w:rPr>
              <w:t>36</w:t>
            </w:r>
            <w:r w:rsidRPr="00B32463">
              <w:rPr>
                <w:rFonts w:ascii="Times New Roman" w:hAnsi="Times New Roman"/>
              </w:rPr>
              <w:t xml:space="preserve">). </w:t>
            </w:r>
          </w:p>
          <w:p w:rsidR="007809CE" w:rsidRDefault="00C22CE3" w:rsidP="00C22CE3">
            <w:pPr>
              <w:spacing w:line="240" w:lineRule="auto"/>
              <w:jc w:val="both"/>
              <w:rPr>
                <w:rFonts w:ascii="Times New Roman" w:hAnsi="Times New Roman"/>
              </w:rPr>
            </w:pPr>
            <w:r w:rsidRPr="00B32463">
              <w:rPr>
                <w:rFonts w:ascii="Times New Roman" w:hAnsi="Times New Roman"/>
              </w:rPr>
              <w:t xml:space="preserve">W związku ze zmianą systemu pobierania opłat egzekucyjnych za podstawę obliczenia opłat wzięto kwoty wyegzekwowane </w:t>
            </w:r>
            <w:r w:rsidR="006C2035">
              <w:rPr>
                <w:rFonts w:ascii="Times New Roman" w:hAnsi="Times New Roman"/>
              </w:rPr>
              <w:t xml:space="preserve">przez dyrektorów oddziałów ZUS </w:t>
            </w:r>
            <w:r w:rsidRPr="00B32463">
              <w:rPr>
                <w:rFonts w:ascii="Times New Roman" w:hAnsi="Times New Roman"/>
              </w:rPr>
              <w:t>w toku postępowania egzekucyjnego (</w:t>
            </w:r>
            <w:r w:rsidR="006C2035">
              <w:rPr>
                <w:rFonts w:ascii="Times New Roman" w:hAnsi="Times New Roman"/>
              </w:rPr>
              <w:t>873,88</w:t>
            </w:r>
            <w:r w:rsidRPr="00B32463">
              <w:rPr>
                <w:rFonts w:ascii="Times New Roman" w:hAnsi="Times New Roman"/>
              </w:rPr>
              <w:t xml:space="preserve"> mln zł) oraz dobrowolnie wpłacone w czasie trwania </w:t>
            </w:r>
            <w:r w:rsidR="006C2035">
              <w:rPr>
                <w:rFonts w:ascii="Times New Roman" w:hAnsi="Times New Roman"/>
              </w:rPr>
              <w:t xml:space="preserve">tego postępowania </w:t>
            </w:r>
            <w:r w:rsidRPr="00B32463">
              <w:rPr>
                <w:rFonts w:ascii="Times New Roman" w:hAnsi="Times New Roman"/>
              </w:rPr>
              <w:t>zarówno do wierzyciela</w:t>
            </w:r>
            <w:r>
              <w:rPr>
                <w:rFonts w:ascii="Times New Roman" w:hAnsi="Times New Roman"/>
              </w:rPr>
              <w:t>,</w:t>
            </w:r>
            <w:r w:rsidRPr="00B32463">
              <w:rPr>
                <w:rFonts w:ascii="Times New Roman" w:hAnsi="Times New Roman"/>
              </w:rPr>
              <w:t xml:space="preserve"> jak i organu egzekucyjnego (</w:t>
            </w:r>
            <w:r w:rsidR="006C2035">
              <w:rPr>
                <w:rFonts w:ascii="Times New Roman" w:hAnsi="Times New Roman"/>
              </w:rPr>
              <w:t>1 664,57</w:t>
            </w:r>
            <w:r w:rsidRPr="00B32463">
              <w:rPr>
                <w:rFonts w:ascii="Times New Roman" w:hAnsi="Times New Roman"/>
              </w:rPr>
              <w:t xml:space="preserve"> mln zł).</w:t>
            </w:r>
          </w:p>
          <w:p w:rsidR="007809CE" w:rsidRDefault="007809CE" w:rsidP="007809CE">
            <w:pPr>
              <w:spacing w:line="240" w:lineRule="auto"/>
              <w:jc w:val="both"/>
              <w:rPr>
                <w:rFonts w:ascii="Times New Roman" w:hAnsi="Times New Roman"/>
              </w:rPr>
            </w:pPr>
            <w:r w:rsidRPr="00B32463">
              <w:rPr>
                <w:rFonts w:ascii="Times New Roman" w:hAnsi="Times New Roman"/>
              </w:rPr>
              <w:t xml:space="preserve">W przypadku </w:t>
            </w:r>
            <w:r>
              <w:rPr>
                <w:rFonts w:ascii="Times New Roman" w:hAnsi="Times New Roman"/>
              </w:rPr>
              <w:t>ZUS</w:t>
            </w:r>
            <w:r w:rsidRPr="00B32463">
              <w:rPr>
                <w:rFonts w:ascii="Times New Roman" w:hAnsi="Times New Roman"/>
              </w:rPr>
              <w:t xml:space="preserve"> szacuje się, że wysokość należności</w:t>
            </w:r>
            <w:r w:rsidR="009E0173">
              <w:rPr>
                <w:rFonts w:ascii="Times New Roman" w:hAnsi="Times New Roman"/>
              </w:rPr>
              <w:t>,</w:t>
            </w:r>
            <w:r w:rsidRPr="00B32463">
              <w:rPr>
                <w:rFonts w:ascii="Times New Roman" w:hAnsi="Times New Roman"/>
              </w:rPr>
              <w:t xml:space="preserve"> od których nie będzie naliczana opłata egzekucyjna (szczegółowe omówienie w pkt III.2) dotyczy ok. 2</w:t>
            </w:r>
            <w:r>
              <w:rPr>
                <w:rFonts w:ascii="Times New Roman" w:hAnsi="Times New Roman"/>
              </w:rPr>
              <w:t>4</w:t>
            </w:r>
            <w:r w:rsidRPr="00B32463">
              <w:rPr>
                <w:rFonts w:ascii="Times New Roman" w:hAnsi="Times New Roman"/>
              </w:rPr>
              <w:t xml:space="preserve">% należności </w:t>
            </w:r>
            <w:r>
              <w:rPr>
                <w:rFonts w:ascii="Times New Roman" w:hAnsi="Times New Roman"/>
              </w:rPr>
              <w:t xml:space="preserve">egzekwowanych w </w:t>
            </w:r>
            <w:r w:rsidRPr="00B32463">
              <w:rPr>
                <w:rFonts w:ascii="Times New Roman" w:hAnsi="Times New Roman"/>
              </w:rPr>
              <w:t>postępowania</w:t>
            </w:r>
            <w:r>
              <w:rPr>
                <w:rFonts w:ascii="Times New Roman" w:hAnsi="Times New Roman"/>
              </w:rPr>
              <w:t>ch</w:t>
            </w:r>
            <w:r w:rsidRPr="00B32463">
              <w:rPr>
                <w:rFonts w:ascii="Times New Roman" w:hAnsi="Times New Roman"/>
              </w:rPr>
              <w:t xml:space="preserve"> egzekucyjny</w:t>
            </w:r>
            <w:r>
              <w:rPr>
                <w:rFonts w:ascii="Times New Roman" w:hAnsi="Times New Roman"/>
              </w:rPr>
              <w:t>ch</w:t>
            </w:r>
            <w:r w:rsidRPr="00B32463">
              <w:rPr>
                <w:rFonts w:ascii="Times New Roman" w:hAnsi="Times New Roman"/>
              </w:rPr>
              <w:t>. Zatem po wejściu w</w:t>
            </w:r>
            <w:r>
              <w:rPr>
                <w:rFonts w:ascii="Times New Roman" w:hAnsi="Times New Roman"/>
              </w:rPr>
              <w:t xml:space="preserve"> </w:t>
            </w:r>
            <w:r w:rsidRPr="00B32463">
              <w:rPr>
                <w:rFonts w:ascii="Times New Roman" w:hAnsi="Times New Roman"/>
              </w:rPr>
              <w:t xml:space="preserve">życie nowych przepisów dochody </w:t>
            </w:r>
            <w:r>
              <w:rPr>
                <w:rFonts w:ascii="Times New Roman" w:hAnsi="Times New Roman"/>
              </w:rPr>
              <w:t>ZUS</w:t>
            </w:r>
            <w:r w:rsidRPr="00B32463">
              <w:rPr>
                <w:rFonts w:ascii="Times New Roman" w:hAnsi="Times New Roman"/>
              </w:rPr>
              <w:t xml:space="preserve"> z tytułu opłaty egzekucyjnej wyniosą ok. </w:t>
            </w:r>
            <w:r>
              <w:rPr>
                <w:rFonts w:ascii="Times New Roman" w:hAnsi="Times New Roman"/>
              </w:rPr>
              <w:t>129,67</w:t>
            </w:r>
            <w:r w:rsidRPr="00B32463">
              <w:rPr>
                <w:rFonts w:ascii="Times New Roman" w:hAnsi="Times New Roman"/>
              </w:rPr>
              <w:t xml:space="preserve"> </w:t>
            </w:r>
            <w:r>
              <w:rPr>
                <w:rFonts w:ascii="Times New Roman" w:hAnsi="Times New Roman"/>
              </w:rPr>
              <w:t>mln</w:t>
            </w:r>
            <w:r w:rsidRPr="00B32463">
              <w:rPr>
                <w:rFonts w:ascii="Times New Roman" w:hAnsi="Times New Roman"/>
              </w:rPr>
              <w:t xml:space="preserve"> zł i będą wyższe od obecnych o</w:t>
            </w:r>
            <w:r w:rsidR="00043D78">
              <w:rPr>
                <w:rFonts w:ascii="Times New Roman" w:hAnsi="Times New Roman"/>
              </w:rPr>
              <w:t> </w:t>
            </w:r>
            <w:r>
              <w:rPr>
                <w:rFonts w:ascii="Times New Roman" w:hAnsi="Times New Roman"/>
              </w:rPr>
              <w:t>59,92</w:t>
            </w:r>
            <w:r w:rsidR="00043D78">
              <w:rPr>
                <w:rFonts w:ascii="Times New Roman" w:hAnsi="Times New Roman"/>
              </w:rPr>
              <w:t> </w:t>
            </w:r>
            <w:r>
              <w:rPr>
                <w:rFonts w:ascii="Times New Roman" w:hAnsi="Times New Roman"/>
              </w:rPr>
              <w:t>mln</w:t>
            </w:r>
            <w:r w:rsidR="00043D78">
              <w:rPr>
                <w:rFonts w:ascii="Times New Roman" w:hAnsi="Times New Roman"/>
              </w:rPr>
              <w:t> </w:t>
            </w:r>
            <w:r w:rsidRPr="00B32463">
              <w:rPr>
                <w:rFonts w:ascii="Times New Roman" w:hAnsi="Times New Roman"/>
              </w:rPr>
              <w:t xml:space="preserve">zł. </w:t>
            </w:r>
            <w:r>
              <w:rPr>
                <w:rFonts w:ascii="Times New Roman" w:hAnsi="Times New Roman"/>
              </w:rPr>
              <w:t>(kalkulacja str. 1</w:t>
            </w:r>
            <w:r w:rsidR="005261D1">
              <w:rPr>
                <w:rFonts w:ascii="Times New Roman" w:hAnsi="Times New Roman"/>
              </w:rPr>
              <w:t>9</w:t>
            </w:r>
            <w:r>
              <w:rPr>
                <w:rFonts w:ascii="Times New Roman" w:hAnsi="Times New Roman"/>
              </w:rPr>
              <w:t>, tabele 3</w:t>
            </w:r>
            <w:r w:rsidR="005261D1">
              <w:rPr>
                <w:rFonts w:ascii="Times New Roman" w:hAnsi="Times New Roman"/>
              </w:rPr>
              <w:t>7</w:t>
            </w:r>
            <w:r>
              <w:rPr>
                <w:rFonts w:ascii="Times New Roman" w:hAnsi="Times New Roman"/>
              </w:rPr>
              <w:t xml:space="preserve"> i 3</w:t>
            </w:r>
            <w:r w:rsidR="005261D1">
              <w:rPr>
                <w:rFonts w:ascii="Times New Roman" w:hAnsi="Times New Roman"/>
              </w:rPr>
              <w:t>8</w:t>
            </w:r>
            <w:r w:rsidRPr="00B32463">
              <w:rPr>
                <w:rFonts w:ascii="Times New Roman" w:hAnsi="Times New Roman"/>
              </w:rPr>
              <w:t xml:space="preserve">). </w:t>
            </w:r>
          </w:p>
          <w:p w:rsidR="009E0173" w:rsidRDefault="009E0173" w:rsidP="00C22CE3">
            <w:pPr>
              <w:spacing w:line="240" w:lineRule="auto"/>
              <w:jc w:val="both"/>
              <w:rPr>
                <w:rFonts w:ascii="Times New Roman" w:hAnsi="Times New Roman"/>
                <w:b/>
              </w:rPr>
            </w:pPr>
          </w:p>
          <w:p w:rsidR="00C22CE3" w:rsidRPr="00B32463" w:rsidRDefault="00C22CE3" w:rsidP="00C22CE3">
            <w:pPr>
              <w:spacing w:line="240" w:lineRule="auto"/>
              <w:jc w:val="both"/>
              <w:rPr>
                <w:rFonts w:ascii="Times New Roman" w:hAnsi="Times New Roman"/>
              </w:rPr>
            </w:pPr>
            <w:r w:rsidRPr="00B32463">
              <w:rPr>
                <w:rFonts w:ascii="Times New Roman" w:hAnsi="Times New Roman"/>
                <w:b/>
              </w:rPr>
              <w:t>3) Wydatki egzekucyjne</w:t>
            </w:r>
          </w:p>
          <w:p w:rsidR="00C22CE3" w:rsidRDefault="00C22CE3" w:rsidP="00C22CE3">
            <w:pPr>
              <w:spacing w:line="240" w:lineRule="auto"/>
              <w:jc w:val="both"/>
              <w:rPr>
                <w:rFonts w:ascii="Times New Roman" w:hAnsi="Times New Roman"/>
              </w:rPr>
            </w:pPr>
            <w:r w:rsidRPr="00B32463">
              <w:rPr>
                <w:rFonts w:ascii="Times New Roman" w:hAnsi="Times New Roman"/>
              </w:rPr>
              <w:t xml:space="preserve">Wzrost dochodów </w:t>
            </w:r>
            <w:r w:rsidR="00272B11">
              <w:rPr>
                <w:rFonts w:ascii="Times New Roman" w:hAnsi="Times New Roman"/>
              </w:rPr>
              <w:t>ZUS</w:t>
            </w:r>
            <w:r w:rsidRPr="00B32463">
              <w:rPr>
                <w:rFonts w:ascii="Times New Roman" w:hAnsi="Times New Roman"/>
              </w:rPr>
              <w:t xml:space="preserve"> z tytułu uzupełni</w:t>
            </w:r>
            <w:r>
              <w:rPr>
                <w:rFonts w:ascii="Times New Roman" w:hAnsi="Times New Roman"/>
              </w:rPr>
              <w:t>enia katalogu wydatków o pozycje</w:t>
            </w:r>
            <w:r w:rsidRPr="00B32463">
              <w:rPr>
                <w:rFonts w:ascii="Times New Roman" w:hAnsi="Times New Roman"/>
              </w:rPr>
              <w:t xml:space="preserve"> dotycząc</w:t>
            </w:r>
            <w:r>
              <w:rPr>
                <w:rFonts w:ascii="Times New Roman" w:hAnsi="Times New Roman"/>
              </w:rPr>
              <w:t>e</w:t>
            </w:r>
            <w:r w:rsidRPr="00B32463">
              <w:rPr>
                <w:rFonts w:ascii="Times New Roman" w:hAnsi="Times New Roman"/>
              </w:rPr>
              <w:t xml:space="preserve"> możliwości pokrywania kosztów wysłania korespondencji oszacowano w oparciu o</w:t>
            </w:r>
            <w:r w:rsidR="00043D78">
              <w:rPr>
                <w:rFonts w:ascii="Times New Roman" w:hAnsi="Times New Roman"/>
              </w:rPr>
              <w:t xml:space="preserve"> </w:t>
            </w:r>
            <w:r w:rsidRPr="00B32463">
              <w:rPr>
                <w:rFonts w:ascii="Times New Roman" w:hAnsi="Times New Roman"/>
              </w:rPr>
              <w:t>liczbę dokonywanych zajęć poszczególnych wierzytelności oraz koszty wysłania korespondencji</w:t>
            </w:r>
            <w:r>
              <w:rPr>
                <w:rFonts w:ascii="Times New Roman" w:hAnsi="Times New Roman"/>
              </w:rPr>
              <w:t xml:space="preserve">. Koszt ten wynosi 7,80 zł w ramach wysłania korespondencji </w:t>
            </w:r>
            <w:r w:rsidRPr="00B32463">
              <w:rPr>
                <w:rFonts w:ascii="Times New Roman" w:hAnsi="Times New Roman"/>
              </w:rPr>
              <w:t>za pośrednictwem operatora pocztowego</w:t>
            </w:r>
            <w:r>
              <w:rPr>
                <w:rFonts w:ascii="Times New Roman" w:hAnsi="Times New Roman"/>
              </w:rPr>
              <w:t xml:space="preserve"> oraz 0,50 zł za pośrednictwem systemu teleinformatycznego</w:t>
            </w:r>
            <w:r w:rsidRPr="00B32463">
              <w:rPr>
                <w:rFonts w:ascii="Times New Roman" w:hAnsi="Times New Roman"/>
              </w:rPr>
              <w:t xml:space="preserve"> obsługującego zajęcia wierzytelności z rachunku bankowego</w:t>
            </w:r>
            <w:r>
              <w:rPr>
                <w:rFonts w:ascii="Times New Roman" w:hAnsi="Times New Roman"/>
              </w:rPr>
              <w:t xml:space="preserve"> (</w:t>
            </w:r>
            <w:r w:rsidRPr="00B32463">
              <w:rPr>
                <w:rFonts w:ascii="Times New Roman" w:hAnsi="Times New Roman"/>
              </w:rPr>
              <w:t xml:space="preserve">kalkulacja str. </w:t>
            </w:r>
            <w:r w:rsidR="004C28EE">
              <w:rPr>
                <w:rFonts w:ascii="Times New Roman" w:hAnsi="Times New Roman"/>
              </w:rPr>
              <w:t>20</w:t>
            </w:r>
            <w:r w:rsidRPr="00B32463">
              <w:rPr>
                <w:rFonts w:ascii="Times New Roman" w:hAnsi="Times New Roman"/>
              </w:rPr>
              <w:t xml:space="preserve"> tabela </w:t>
            </w:r>
            <w:r w:rsidR="004C28EE">
              <w:rPr>
                <w:rFonts w:ascii="Times New Roman" w:hAnsi="Times New Roman"/>
              </w:rPr>
              <w:t>39</w:t>
            </w:r>
            <w:r>
              <w:rPr>
                <w:rFonts w:ascii="Times New Roman" w:hAnsi="Times New Roman"/>
              </w:rPr>
              <w:t>)</w:t>
            </w:r>
            <w:r w:rsidRPr="00B32463">
              <w:rPr>
                <w:rFonts w:ascii="Times New Roman" w:hAnsi="Times New Roman"/>
              </w:rPr>
              <w:t xml:space="preserve">. Na podstawie powyższych danych zakłada się, że roczny wzrost </w:t>
            </w:r>
            <w:r w:rsidR="00272B11">
              <w:rPr>
                <w:rFonts w:ascii="Times New Roman" w:hAnsi="Times New Roman"/>
              </w:rPr>
              <w:t>ZUS</w:t>
            </w:r>
            <w:r w:rsidRPr="00B32463">
              <w:rPr>
                <w:rFonts w:ascii="Times New Roman" w:hAnsi="Times New Roman"/>
              </w:rPr>
              <w:t xml:space="preserve"> z tytułu rozszerzenia katalogu wydatków egzekucyjnych wyniesie ok. </w:t>
            </w:r>
            <w:r w:rsidR="00272B11">
              <w:rPr>
                <w:rFonts w:ascii="Times New Roman" w:hAnsi="Times New Roman"/>
              </w:rPr>
              <w:t>490 tys.</w:t>
            </w:r>
            <w:r w:rsidRPr="00B32463">
              <w:rPr>
                <w:rFonts w:ascii="Times New Roman" w:hAnsi="Times New Roman"/>
              </w:rPr>
              <w:t xml:space="preserve"> zł (kalkulacja str.</w:t>
            </w:r>
            <w:r w:rsidR="00C65C46">
              <w:rPr>
                <w:rFonts w:ascii="Times New Roman" w:hAnsi="Times New Roman"/>
              </w:rPr>
              <w:t xml:space="preserve"> 20</w:t>
            </w:r>
            <w:r w:rsidRPr="00B32463">
              <w:rPr>
                <w:rFonts w:ascii="Times New Roman" w:hAnsi="Times New Roman"/>
              </w:rPr>
              <w:t xml:space="preserve"> tabela </w:t>
            </w:r>
            <w:r w:rsidR="00C65C46">
              <w:rPr>
                <w:rFonts w:ascii="Times New Roman" w:hAnsi="Times New Roman"/>
              </w:rPr>
              <w:t>40</w:t>
            </w:r>
            <w:r w:rsidRPr="00B32463">
              <w:rPr>
                <w:rFonts w:ascii="Times New Roman" w:hAnsi="Times New Roman"/>
              </w:rPr>
              <w:t xml:space="preserve">). </w:t>
            </w:r>
          </w:p>
          <w:p w:rsidR="009E0173" w:rsidRDefault="009E0173" w:rsidP="00C22CE3">
            <w:pPr>
              <w:spacing w:line="240" w:lineRule="auto"/>
              <w:jc w:val="both"/>
              <w:rPr>
                <w:rFonts w:ascii="Times New Roman" w:hAnsi="Times New Roman"/>
                <w:b/>
              </w:rPr>
            </w:pPr>
          </w:p>
          <w:p w:rsidR="00C22CE3" w:rsidRPr="00B32463" w:rsidRDefault="00C22CE3" w:rsidP="00C22CE3">
            <w:pPr>
              <w:spacing w:line="240" w:lineRule="auto"/>
              <w:jc w:val="both"/>
              <w:rPr>
                <w:rFonts w:ascii="Times New Roman" w:hAnsi="Times New Roman"/>
                <w:b/>
              </w:rPr>
            </w:pPr>
            <w:r w:rsidRPr="00B32463">
              <w:rPr>
                <w:rFonts w:ascii="Times New Roman" w:hAnsi="Times New Roman"/>
                <w:b/>
              </w:rPr>
              <w:t xml:space="preserve">4) Łączne dane dotyczące wpływu na </w:t>
            </w:r>
            <w:r w:rsidR="00547E16">
              <w:rPr>
                <w:rFonts w:ascii="Times New Roman" w:hAnsi="Times New Roman"/>
                <w:b/>
              </w:rPr>
              <w:t>ZUS</w:t>
            </w:r>
          </w:p>
          <w:p w:rsidR="00C22CE3" w:rsidRPr="00947211" w:rsidRDefault="00C22CE3" w:rsidP="009E0173">
            <w:pPr>
              <w:spacing w:line="240" w:lineRule="auto"/>
              <w:jc w:val="both"/>
              <w:rPr>
                <w:rFonts w:ascii="Times New Roman" w:hAnsi="Times New Roman"/>
              </w:rPr>
            </w:pPr>
            <w:r w:rsidRPr="00B32463">
              <w:rPr>
                <w:rFonts w:ascii="Times New Roman" w:hAnsi="Times New Roman"/>
              </w:rPr>
              <w:t>Podsumowując</w:t>
            </w:r>
            <w:r w:rsidR="009E0173">
              <w:rPr>
                <w:rFonts w:ascii="Times New Roman" w:hAnsi="Times New Roman"/>
              </w:rPr>
              <w:t>, łą</w:t>
            </w:r>
            <w:r w:rsidRPr="00B32463">
              <w:rPr>
                <w:rFonts w:ascii="Times New Roman" w:hAnsi="Times New Roman"/>
              </w:rPr>
              <w:t xml:space="preserve">czny wzrost rocznego dochodu </w:t>
            </w:r>
            <w:r w:rsidR="00547E16">
              <w:rPr>
                <w:rFonts w:ascii="Times New Roman" w:hAnsi="Times New Roman"/>
              </w:rPr>
              <w:t>Zakładu</w:t>
            </w:r>
            <w:r w:rsidRPr="00B32463">
              <w:rPr>
                <w:rFonts w:ascii="Times New Roman" w:hAnsi="Times New Roman"/>
              </w:rPr>
              <w:t xml:space="preserve"> wyniesie </w:t>
            </w:r>
            <w:r w:rsidR="00DE0DAB">
              <w:rPr>
                <w:rFonts w:ascii="Times New Roman" w:hAnsi="Times New Roman"/>
              </w:rPr>
              <w:t>75,40</w:t>
            </w:r>
            <w:r w:rsidRPr="00B32463">
              <w:rPr>
                <w:rFonts w:ascii="Times New Roman" w:hAnsi="Times New Roman"/>
              </w:rPr>
              <w:t xml:space="preserve"> mln zł (kalkulacja str. </w:t>
            </w:r>
            <w:r w:rsidR="00DE0DAB">
              <w:rPr>
                <w:rFonts w:ascii="Times New Roman" w:hAnsi="Times New Roman"/>
              </w:rPr>
              <w:t>21</w:t>
            </w:r>
            <w:r w:rsidRPr="00B32463">
              <w:rPr>
                <w:rFonts w:ascii="Times New Roman" w:hAnsi="Times New Roman"/>
              </w:rPr>
              <w:t xml:space="preserve"> tabela </w:t>
            </w:r>
            <w:r w:rsidR="00DE0DAB">
              <w:rPr>
                <w:rFonts w:ascii="Times New Roman" w:hAnsi="Times New Roman"/>
              </w:rPr>
              <w:t>41</w:t>
            </w:r>
            <w:r w:rsidRPr="00B32463">
              <w:rPr>
                <w:rFonts w:ascii="Times New Roman" w:hAnsi="Times New Roman"/>
              </w:rPr>
              <w:t xml:space="preserve">). Jednak biorąc pod uwagę średni czas trwania postępowania egzekucyjnego tj. 555 dni (ok. 1,5 roku) należy przyjąć, iż pełna wysokość wzrostu dochodów zostanie osiągnięta na przestrzeni kilku lat. Należy zauważyć, iż w egzekucji znajdują się tytuły wykonawcze, do których koszty egzekucyjne zostały naliczone przed dniem wejścia w życie projektowanych przepisów. Biorąc pod uwagę powyższe zakłada się, że pełna wysokość wzrostu dochodów </w:t>
            </w:r>
            <w:r w:rsidR="00547E16">
              <w:rPr>
                <w:rFonts w:ascii="Times New Roman" w:hAnsi="Times New Roman"/>
              </w:rPr>
              <w:t>ZUS</w:t>
            </w:r>
            <w:r w:rsidRPr="00B32463">
              <w:rPr>
                <w:rFonts w:ascii="Times New Roman" w:hAnsi="Times New Roman"/>
              </w:rPr>
              <w:t xml:space="preserve"> z tytułu zmiany regulacji w zakresie kosztów egzekucyjnych zostanie osiągnięta w trzecim roku obowiązywania ustawy (kalkulacja str. </w:t>
            </w:r>
            <w:r w:rsidR="00DE0DAB">
              <w:rPr>
                <w:rFonts w:ascii="Times New Roman" w:hAnsi="Times New Roman"/>
              </w:rPr>
              <w:t>21</w:t>
            </w:r>
            <w:r w:rsidRPr="00B32463">
              <w:rPr>
                <w:rFonts w:ascii="Times New Roman" w:hAnsi="Times New Roman"/>
              </w:rPr>
              <w:t xml:space="preserve"> tabela </w:t>
            </w:r>
            <w:r w:rsidR="00DE0DAB">
              <w:rPr>
                <w:rFonts w:ascii="Times New Roman" w:hAnsi="Times New Roman"/>
              </w:rPr>
              <w:t>42</w:t>
            </w:r>
            <w:r w:rsidRPr="00B32463">
              <w:rPr>
                <w:rFonts w:ascii="Times New Roman" w:hAnsi="Times New Roman"/>
              </w:rPr>
              <w:t xml:space="preserve">).   </w:t>
            </w:r>
          </w:p>
        </w:tc>
      </w:tr>
      <w:tr w:rsidR="00AF2E52" w:rsidRPr="008B4FE6" w:rsidTr="00676C8D">
        <w:trPr>
          <w:gridAfter w:val="1"/>
          <w:wAfter w:w="10" w:type="dxa"/>
          <w:trHeight w:val="345"/>
        </w:trPr>
        <w:tc>
          <w:tcPr>
            <w:tcW w:w="10937" w:type="dxa"/>
            <w:gridSpan w:val="28"/>
            <w:shd w:val="clear" w:color="auto" w:fill="99CCFF"/>
          </w:tcPr>
          <w:p w:rsidR="00AF2E52" w:rsidRPr="008B4FE6" w:rsidRDefault="00AF2E52" w:rsidP="0072636A">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lastRenderedPageBreak/>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AF2E52" w:rsidRPr="008B4FE6" w:rsidTr="00676C8D">
        <w:trPr>
          <w:gridAfter w:val="1"/>
          <w:wAfter w:w="10" w:type="dxa"/>
          <w:trHeight w:val="142"/>
        </w:trPr>
        <w:tc>
          <w:tcPr>
            <w:tcW w:w="10937" w:type="dxa"/>
            <w:gridSpan w:val="28"/>
            <w:shd w:val="clear" w:color="auto" w:fill="FFFFFF"/>
          </w:tcPr>
          <w:p w:rsidR="00AF2E52" w:rsidRPr="00301959" w:rsidRDefault="00AF2E52" w:rsidP="00811D46">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AF2E52" w:rsidRPr="008B4FE6" w:rsidTr="00E87163">
        <w:trPr>
          <w:gridAfter w:val="1"/>
          <w:wAfter w:w="10" w:type="dxa"/>
          <w:trHeight w:val="142"/>
        </w:trPr>
        <w:tc>
          <w:tcPr>
            <w:tcW w:w="3879" w:type="dxa"/>
            <w:gridSpan w:val="7"/>
            <w:shd w:val="clear" w:color="auto" w:fill="FFFFFF"/>
          </w:tcPr>
          <w:p w:rsidR="00AF2E52" w:rsidRPr="00301959" w:rsidRDefault="00AF2E52"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rsidR="00AF2E52" w:rsidRPr="00301959" w:rsidRDefault="00AF2E52"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rsidR="00AF2E52" w:rsidRPr="00301959" w:rsidRDefault="00AF2E52"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3"/>
            <w:shd w:val="clear" w:color="auto" w:fill="FFFFFF"/>
          </w:tcPr>
          <w:p w:rsidR="00AF2E52" w:rsidRPr="00301959" w:rsidRDefault="00AF2E52"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rsidR="00AF2E52" w:rsidRPr="00301959" w:rsidRDefault="00AF2E52"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rsidR="00AF2E52" w:rsidRPr="00301959" w:rsidRDefault="00AF2E52"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2"/>
            <w:shd w:val="clear" w:color="auto" w:fill="FFFFFF"/>
          </w:tcPr>
          <w:p w:rsidR="00AF2E52" w:rsidRPr="00301959" w:rsidRDefault="00AF2E52"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32" w:type="dxa"/>
            <w:gridSpan w:val="2"/>
            <w:shd w:val="clear" w:color="auto" w:fill="FFFFFF"/>
          </w:tcPr>
          <w:p w:rsidR="00AF2E52" w:rsidRPr="001B3460" w:rsidRDefault="00AF2E52" w:rsidP="00811D46">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AF2E52" w:rsidRPr="008B4FE6" w:rsidTr="00E87163">
        <w:trPr>
          <w:gridAfter w:val="1"/>
          <w:wAfter w:w="10" w:type="dxa"/>
          <w:trHeight w:val="142"/>
        </w:trPr>
        <w:tc>
          <w:tcPr>
            <w:tcW w:w="1590" w:type="dxa"/>
            <w:vMerge w:val="restart"/>
            <w:shd w:val="clear" w:color="auto" w:fill="FFFFFF"/>
          </w:tcPr>
          <w:p w:rsidR="00AF2E52" w:rsidRDefault="00AF2E52" w:rsidP="006F78C4">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rsidR="00AF2E52" w:rsidRDefault="00AF2E52" w:rsidP="006F78C4">
            <w:pPr>
              <w:rPr>
                <w:rFonts w:ascii="Times New Roman" w:hAnsi="Times New Roman"/>
                <w:spacing w:val="-2"/>
                <w:sz w:val="21"/>
                <w:szCs w:val="21"/>
              </w:rPr>
            </w:pPr>
            <w:r>
              <w:rPr>
                <w:rFonts w:ascii="Times New Roman" w:hAnsi="Times New Roman"/>
                <w:spacing w:val="-2"/>
                <w:sz w:val="21"/>
                <w:szCs w:val="21"/>
              </w:rPr>
              <w:t xml:space="preserve">(w mln zł, </w:t>
            </w:r>
          </w:p>
          <w:p w:rsidR="00AF2E52" w:rsidRPr="00301959" w:rsidRDefault="00AF2E52" w:rsidP="006F78C4">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289" w:type="dxa"/>
            <w:gridSpan w:val="6"/>
            <w:shd w:val="clear" w:color="auto" w:fill="FFFFFF"/>
          </w:tcPr>
          <w:p w:rsidR="00AF2E52" w:rsidRPr="00301959" w:rsidRDefault="00AF2E52"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rsidR="00AF2E52" w:rsidRPr="00B37C80" w:rsidRDefault="00AF2E52" w:rsidP="00811D46">
            <w:pPr>
              <w:spacing w:line="240" w:lineRule="auto"/>
              <w:rPr>
                <w:rFonts w:ascii="Times New Roman" w:hAnsi="Times New Roman"/>
                <w:color w:val="000000"/>
                <w:sz w:val="21"/>
                <w:szCs w:val="21"/>
              </w:rPr>
            </w:pPr>
          </w:p>
        </w:tc>
        <w:tc>
          <w:tcPr>
            <w:tcW w:w="938" w:type="dxa"/>
            <w:gridSpan w:val="5"/>
            <w:shd w:val="clear" w:color="auto" w:fill="FFFFFF"/>
          </w:tcPr>
          <w:p w:rsidR="00AF2E52" w:rsidRPr="00B37C80" w:rsidRDefault="00AF2E52" w:rsidP="00811D46">
            <w:pPr>
              <w:spacing w:line="240" w:lineRule="auto"/>
              <w:rPr>
                <w:rFonts w:ascii="Times New Roman" w:hAnsi="Times New Roman"/>
                <w:color w:val="000000"/>
                <w:sz w:val="21"/>
                <w:szCs w:val="21"/>
              </w:rPr>
            </w:pPr>
          </w:p>
        </w:tc>
        <w:tc>
          <w:tcPr>
            <w:tcW w:w="938" w:type="dxa"/>
            <w:gridSpan w:val="3"/>
            <w:shd w:val="clear" w:color="auto" w:fill="FFFFFF"/>
          </w:tcPr>
          <w:p w:rsidR="00AF2E52" w:rsidRPr="00B37C80" w:rsidRDefault="00AF2E52" w:rsidP="00811D46">
            <w:pPr>
              <w:spacing w:line="240" w:lineRule="auto"/>
              <w:rPr>
                <w:rFonts w:ascii="Times New Roman" w:hAnsi="Times New Roman"/>
                <w:color w:val="000000"/>
                <w:sz w:val="21"/>
                <w:szCs w:val="21"/>
              </w:rPr>
            </w:pPr>
          </w:p>
        </w:tc>
        <w:tc>
          <w:tcPr>
            <w:tcW w:w="937" w:type="dxa"/>
            <w:gridSpan w:val="3"/>
            <w:shd w:val="clear" w:color="auto" w:fill="FFFFFF"/>
          </w:tcPr>
          <w:p w:rsidR="00AF2E52" w:rsidRPr="00B37C80" w:rsidRDefault="00AF2E52" w:rsidP="00811D46">
            <w:pPr>
              <w:spacing w:line="240" w:lineRule="auto"/>
              <w:rPr>
                <w:rFonts w:ascii="Times New Roman" w:hAnsi="Times New Roman"/>
                <w:color w:val="000000"/>
                <w:sz w:val="21"/>
                <w:szCs w:val="21"/>
              </w:rPr>
            </w:pPr>
          </w:p>
        </w:tc>
        <w:tc>
          <w:tcPr>
            <w:tcW w:w="938" w:type="dxa"/>
            <w:gridSpan w:val="4"/>
            <w:shd w:val="clear" w:color="auto" w:fill="FFFFFF"/>
          </w:tcPr>
          <w:p w:rsidR="00AF2E52" w:rsidRPr="00B37C80" w:rsidRDefault="00AF2E52" w:rsidP="00811D46">
            <w:pPr>
              <w:spacing w:line="240" w:lineRule="auto"/>
              <w:rPr>
                <w:rFonts w:ascii="Times New Roman" w:hAnsi="Times New Roman"/>
                <w:color w:val="000000"/>
                <w:sz w:val="21"/>
                <w:szCs w:val="21"/>
              </w:rPr>
            </w:pPr>
          </w:p>
        </w:tc>
        <w:tc>
          <w:tcPr>
            <w:tcW w:w="938" w:type="dxa"/>
            <w:gridSpan w:val="2"/>
            <w:shd w:val="clear" w:color="auto" w:fill="FFFFFF"/>
          </w:tcPr>
          <w:p w:rsidR="00AF2E52" w:rsidRPr="00B37C80" w:rsidRDefault="00AF2E52" w:rsidP="00811D46">
            <w:pPr>
              <w:spacing w:line="240" w:lineRule="auto"/>
              <w:rPr>
                <w:rFonts w:ascii="Times New Roman" w:hAnsi="Times New Roman"/>
                <w:color w:val="000000"/>
                <w:sz w:val="21"/>
                <w:szCs w:val="21"/>
              </w:rPr>
            </w:pPr>
          </w:p>
        </w:tc>
        <w:tc>
          <w:tcPr>
            <w:tcW w:w="1432" w:type="dxa"/>
            <w:gridSpan w:val="2"/>
            <w:shd w:val="clear" w:color="auto" w:fill="FFFFFF"/>
          </w:tcPr>
          <w:p w:rsidR="00AF2E52" w:rsidRPr="00B37C80" w:rsidRDefault="00AF2E52" w:rsidP="00811D46">
            <w:pPr>
              <w:spacing w:line="240" w:lineRule="auto"/>
              <w:rPr>
                <w:rFonts w:ascii="Times New Roman" w:hAnsi="Times New Roman"/>
                <w:color w:val="000000"/>
                <w:spacing w:val="-2"/>
                <w:sz w:val="21"/>
                <w:szCs w:val="21"/>
              </w:rPr>
            </w:pPr>
          </w:p>
        </w:tc>
      </w:tr>
      <w:tr w:rsidR="00AF2E52" w:rsidRPr="008B4FE6" w:rsidTr="00E87163">
        <w:trPr>
          <w:gridAfter w:val="1"/>
          <w:wAfter w:w="10" w:type="dxa"/>
          <w:trHeight w:val="142"/>
        </w:trPr>
        <w:tc>
          <w:tcPr>
            <w:tcW w:w="1590" w:type="dxa"/>
            <w:vMerge/>
            <w:shd w:val="clear" w:color="auto" w:fill="FFFFFF"/>
          </w:tcPr>
          <w:p w:rsidR="00AF2E52" w:rsidRPr="00301959" w:rsidRDefault="00AF2E52" w:rsidP="00811D46">
            <w:pPr>
              <w:spacing w:line="240" w:lineRule="auto"/>
              <w:rPr>
                <w:rFonts w:ascii="Times New Roman" w:hAnsi="Times New Roman"/>
                <w:color w:val="000000"/>
                <w:sz w:val="21"/>
                <w:szCs w:val="21"/>
              </w:rPr>
            </w:pPr>
          </w:p>
        </w:tc>
        <w:tc>
          <w:tcPr>
            <w:tcW w:w="2289" w:type="dxa"/>
            <w:gridSpan w:val="6"/>
            <w:shd w:val="clear" w:color="auto" w:fill="FFFFFF"/>
          </w:tcPr>
          <w:p w:rsidR="00AF2E52" w:rsidRPr="00301959" w:rsidRDefault="00AF2E52"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rsidR="00AF2E52" w:rsidRPr="00B37C80" w:rsidRDefault="00AF2E52" w:rsidP="00811D46">
            <w:pPr>
              <w:spacing w:line="240" w:lineRule="auto"/>
              <w:rPr>
                <w:rFonts w:ascii="Times New Roman" w:hAnsi="Times New Roman"/>
                <w:color w:val="000000"/>
                <w:sz w:val="21"/>
                <w:szCs w:val="21"/>
              </w:rPr>
            </w:pPr>
          </w:p>
        </w:tc>
        <w:tc>
          <w:tcPr>
            <w:tcW w:w="938" w:type="dxa"/>
            <w:gridSpan w:val="5"/>
            <w:shd w:val="clear" w:color="auto" w:fill="FFFFFF"/>
          </w:tcPr>
          <w:p w:rsidR="00AF2E52" w:rsidRPr="00B37C80" w:rsidRDefault="00AF2E52" w:rsidP="00811D46">
            <w:pPr>
              <w:spacing w:line="240" w:lineRule="auto"/>
              <w:rPr>
                <w:rFonts w:ascii="Times New Roman" w:hAnsi="Times New Roman"/>
                <w:color w:val="000000"/>
                <w:sz w:val="21"/>
                <w:szCs w:val="21"/>
              </w:rPr>
            </w:pPr>
          </w:p>
        </w:tc>
        <w:tc>
          <w:tcPr>
            <w:tcW w:w="938" w:type="dxa"/>
            <w:gridSpan w:val="3"/>
            <w:shd w:val="clear" w:color="auto" w:fill="FFFFFF"/>
          </w:tcPr>
          <w:p w:rsidR="00AF2E52" w:rsidRPr="00B37C80" w:rsidRDefault="00AF2E52" w:rsidP="00811D46">
            <w:pPr>
              <w:spacing w:line="240" w:lineRule="auto"/>
              <w:rPr>
                <w:rFonts w:ascii="Times New Roman" w:hAnsi="Times New Roman"/>
                <w:color w:val="000000"/>
                <w:sz w:val="21"/>
                <w:szCs w:val="21"/>
              </w:rPr>
            </w:pPr>
          </w:p>
        </w:tc>
        <w:tc>
          <w:tcPr>
            <w:tcW w:w="937" w:type="dxa"/>
            <w:gridSpan w:val="3"/>
            <w:shd w:val="clear" w:color="auto" w:fill="FFFFFF"/>
          </w:tcPr>
          <w:p w:rsidR="00AF2E52" w:rsidRPr="00B37C80" w:rsidRDefault="00AF2E52" w:rsidP="00811D46">
            <w:pPr>
              <w:spacing w:line="240" w:lineRule="auto"/>
              <w:rPr>
                <w:rFonts w:ascii="Times New Roman" w:hAnsi="Times New Roman"/>
                <w:color w:val="000000"/>
                <w:sz w:val="21"/>
                <w:szCs w:val="21"/>
              </w:rPr>
            </w:pPr>
          </w:p>
        </w:tc>
        <w:tc>
          <w:tcPr>
            <w:tcW w:w="938" w:type="dxa"/>
            <w:gridSpan w:val="4"/>
            <w:shd w:val="clear" w:color="auto" w:fill="FFFFFF"/>
          </w:tcPr>
          <w:p w:rsidR="00AF2E52" w:rsidRPr="00B37C80" w:rsidRDefault="00AF2E52" w:rsidP="00811D46">
            <w:pPr>
              <w:spacing w:line="240" w:lineRule="auto"/>
              <w:rPr>
                <w:rFonts w:ascii="Times New Roman" w:hAnsi="Times New Roman"/>
                <w:color w:val="000000"/>
                <w:sz w:val="21"/>
                <w:szCs w:val="21"/>
              </w:rPr>
            </w:pPr>
          </w:p>
        </w:tc>
        <w:tc>
          <w:tcPr>
            <w:tcW w:w="938" w:type="dxa"/>
            <w:gridSpan w:val="2"/>
            <w:shd w:val="clear" w:color="auto" w:fill="FFFFFF"/>
          </w:tcPr>
          <w:p w:rsidR="00AF2E52" w:rsidRPr="00B37C80" w:rsidRDefault="00AF2E52" w:rsidP="00811D46">
            <w:pPr>
              <w:spacing w:line="240" w:lineRule="auto"/>
              <w:rPr>
                <w:rFonts w:ascii="Times New Roman" w:hAnsi="Times New Roman"/>
                <w:color w:val="000000"/>
                <w:sz w:val="21"/>
                <w:szCs w:val="21"/>
              </w:rPr>
            </w:pPr>
          </w:p>
        </w:tc>
        <w:tc>
          <w:tcPr>
            <w:tcW w:w="1432" w:type="dxa"/>
            <w:gridSpan w:val="2"/>
            <w:shd w:val="clear" w:color="auto" w:fill="FFFFFF"/>
          </w:tcPr>
          <w:p w:rsidR="00AF2E52" w:rsidRPr="00B37C80" w:rsidRDefault="00AF2E52" w:rsidP="00811D46">
            <w:pPr>
              <w:spacing w:line="240" w:lineRule="auto"/>
              <w:rPr>
                <w:rFonts w:ascii="Times New Roman" w:hAnsi="Times New Roman"/>
                <w:color w:val="000000"/>
                <w:spacing w:val="-2"/>
                <w:sz w:val="21"/>
                <w:szCs w:val="21"/>
              </w:rPr>
            </w:pPr>
          </w:p>
        </w:tc>
      </w:tr>
      <w:tr w:rsidR="00AF2E52" w:rsidRPr="008B4FE6" w:rsidTr="00E87163">
        <w:trPr>
          <w:gridAfter w:val="1"/>
          <w:wAfter w:w="10" w:type="dxa"/>
          <w:trHeight w:val="142"/>
        </w:trPr>
        <w:tc>
          <w:tcPr>
            <w:tcW w:w="1590" w:type="dxa"/>
            <w:vMerge/>
            <w:shd w:val="clear" w:color="auto" w:fill="FFFFFF"/>
          </w:tcPr>
          <w:p w:rsidR="00AF2E52" w:rsidRPr="00301959" w:rsidRDefault="00AF2E52" w:rsidP="00811D46">
            <w:pPr>
              <w:spacing w:line="240" w:lineRule="auto"/>
              <w:rPr>
                <w:rFonts w:ascii="Times New Roman" w:hAnsi="Times New Roman"/>
                <w:color w:val="000000"/>
                <w:sz w:val="21"/>
                <w:szCs w:val="21"/>
              </w:rPr>
            </w:pPr>
          </w:p>
        </w:tc>
        <w:tc>
          <w:tcPr>
            <w:tcW w:w="2289" w:type="dxa"/>
            <w:gridSpan w:val="6"/>
            <w:shd w:val="clear" w:color="auto" w:fill="FFFFFF"/>
          </w:tcPr>
          <w:p w:rsidR="00AF2E52" w:rsidRPr="00301959" w:rsidRDefault="00AF2E52" w:rsidP="00811D46">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2"/>
            <w:shd w:val="clear" w:color="auto" w:fill="FFFFFF"/>
          </w:tcPr>
          <w:p w:rsidR="00AF2E52" w:rsidRPr="00B37C80" w:rsidRDefault="00AF2E52" w:rsidP="00811D46">
            <w:pPr>
              <w:spacing w:line="240" w:lineRule="auto"/>
              <w:rPr>
                <w:rFonts w:ascii="Times New Roman" w:hAnsi="Times New Roman"/>
                <w:color w:val="000000"/>
                <w:sz w:val="21"/>
                <w:szCs w:val="21"/>
              </w:rPr>
            </w:pPr>
          </w:p>
        </w:tc>
        <w:tc>
          <w:tcPr>
            <w:tcW w:w="938" w:type="dxa"/>
            <w:gridSpan w:val="5"/>
            <w:shd w:val="clear" w:color="auto" w:fill="FFFFFF"/>
          </w:tcPr>
          <w:p w:rsidR="00AF2E52" w:rsidRPr="00B37C80" w:rsidRDefault="00AF2E52" w:rsidP="00811D46">
            <w:pPr>
              <w:spacing w:line="240" w:lineRule="auto"/>
              <w:rPr>
                <w:rFonts w:ascii="Times New Roman" w:hAnsi="Times New Roman"/>
                <w:color w:val="000000"/>
                <w:sz w:val="21"/>
                <w:szCs w:val="21"/>
              </w:rPr>
            </w:pPr>
          </w:p>
        </w:tc>
        <w:tc>
          <w:tcPr>
            <w:tcW w:w="938" w:type="dxa"/>
            <w:gridSpan w:val="3"/>
            <w:shd w:val="clear" w:color="auto" w:fill="FFFFFF"/>
          </w:tcPr>
          <w:p w:rsidR="00AF2E52" w:rsidRPr="00B37C80" w:rsidRDefault="00AF2E52" w:rsidP="00811D46">
            <w:pPr>
              <w:spacing w:line="240" w:lineRule="auto"/>
              <w:rPr>
                <w:rFonts w:ascii="Times New Roman" w:hAnsi="Times New Roman"/>
                <w:color w:val="000000"/>
                <w:sz w:val="21"/>
                <w:szCs w:val="21"/>
              </w:rPr>
            </w:pPr>
          </w:p>
        </w:tc>
        <w:tc>
          <w:tcPr>
            <w:tcW w:w="937" w:type="dxa"/>
            <w:gridSpan w:val="3"/>
            <w:shd w:val="clear" w:color="auto" w:fill="FFFFFF"/>
          </w:tcPr>
          <w:p w:rsidR="00AF2E52" w:rsidRPr="00B37C80" w:rsidRDefault="00AF2E52" w:rsidP="00811D46">
            <w:pPr>
              <w:spacing w:line="240" w:lineRule="auto"/>
              <w:rPr>
                <w:rFonts w:ascii="Times New Roman" w:hAnsi="Times New Roman"/>
                <w:color w:val="000000"/>
                <w:sz w:val="21"/>
                <w:szCs w:val="21"/>
              </w:rPr>
            </w:pPr>
          </w:p>
        </w:tc>
        <w:tc>
          <w:tcPr>
            <w:tcW w:w="938" w:type="dxa"/>
            <w:gridSpan w:val="4"/>
            <w:shd w:val="clear" w:color="auto" w:fill="FFFFFF"/>
          </w:tcPr>
          <w:p w:rsidR="00AF2E52" w:rsidRPr="00B37C80" w:rsidRDefault="00AF2E52" w:rsidP="00811D46">
            <w:pPr>
              <w:spacing w:line="240" w:lineRule="auto"/>
              <w:rPr>
                <w:rFonts w:ascii="Times New Roman" w:hAnsi="Times New Roman"/>
                <w:color w:val="000000"/>
                <w:sz w:val="21"/>
                <w:szCs w:val="21"/>
              </w:rPr>
            </w:pPr>
          </w:p>
        </w:tc>
        <w:tc>
          <w:tcPr>
            <w:tcW w:w="938" w:type="dxa"/>
            <w:gridSpan w:val="2"/>
            <w:shd w:val="clear" w:color="auto" w:fill="FFFFFF"/>
          </w:tcPr>
          <w:p w:rsidR="00AF2E52" w:rsidRPr="00B37C80" w:rsidRDefault="00AF2E52" w:rsidP="00811D46">
            <w:pPr>
              <w:spacing w:line="240" w:lineRule="auto"/>
              <w:rPr>
                <w:rFonts w:ascii="Times New Roman" w:hAnsi="Times New Roman"/>
                <w:color w:val="000000"/>
                <w:sz w:val="21"/>
                <w:szCs w:val="21"/>
              </w:rPr>
            </w:pPr>
          </w:p>
        </w:tc>
        <w:tc>
          <w:tcPr>
            <w:tcW w:w="1432" w:type="dxa"/>
            <w:gridSpan w:val="2"/>
            <w:shd w:val="clear" w:color="auto" w:fill="FFFFFF"/>
          </w:tcPr>
          <w:p w:rsidR="00AF2E52" w:rsidRPr="00B37C80" w:rsidRDefault="00AF2E52" w:rsidP="00811D46">
            <w:pPr>
              <w:spacing w:line="240" w:lineRule="auto"/>
              <w:rPr>
                <w:rFonts w:ascii="Times New Roman" w:hAnsi="Times New Roman"/>
                <w:color w:val="000000"/>
                <w:spacing w:val="-2"/>
                <w:sz w:val="21"/>
                <w:szCs w:val="21"/>
              </w:rPr>
            </w:pPr>
          </w:p>
        </w:tc>
      </w:tr>
      <w:tr w:rsidR="00AF2E52" w:rsidRPr="008B4FE6" w:rsidTr="00E87163">
        <w:trPr>
          <w:gridAfter w:val="1"/>
          <w:wAfter w:w="10" w:type="dxa"/>
          <w:trHeight w:val="142"/>
        </w:trPr>
        <w:tc>
          <w:tcPr>
            <w:tcW w:w="1590" w:type="dxa"/>
            <w:vMerge/>
            <w:shd w:val="clear" w:color="auto" w:fill="FFFFFF"/>
          </w:tcPr>
          <w:p w:rsidR="00AF2E52" w:rsidRPr="00301959" w:rsidRDefault="00AF2E52" w:rsidP="00811D46">
            <w:pPr>
              <w:spacing w:line="240" w:lineRule="auto"/>
              <w:rPr>
                <w:rFonts w:ascii="Times New Roman" w:hAnsi="Times New Roman"/>
                <w:color w:val="000000"/>
                <w:sz w:val="21"/>
                <w:szCs w:val="21"/>
              </w:rPr>
            </w:pPr>
          </w:p>
        </w:tc>
        <w:tc>
          <w:tcPr>
            <w:tcW w:w="2289" w:type="dxa"/>
            <w:gridSpan w:val="6"/>
            <w:shd w:val="clear" w:color="auto" w:fill="FFFFFF"/>
          </w:tcPr>
          <w:p w:rsidR="00AF2E52" w:rsidRPr="00301959" w:rsidRDefault="00475F26"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AF2E52"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00AF2E52"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937" w:type="dxa"/>
            <w:gridSpan w:val="2"/>
            <w:shd w:val="clear" w:color="auto" w:fill="FFFFFF"/>
          </w:tcPr>
          <w:p w:rsidR="00AF2E52" w:rsidRPr="00B37C80" w:rsidRDefault="00AF2E52" w:rsidP="00811D46">
            <w:pPr>
              <w:spacing w:line="240" w:lineRule="auto"/>
              <w:rPr>
                <w:rFonts w:ascii="Times New Roman" w:hAnsi="Times New Roman"/>
                <w:color w:val="000000"/>
                <w:sz w:val="21"/>
                <w:szCs w:val="21"/>
              </w:rPr>
            </w:pPr>
          </w:p>
        </w:tc>
        <w:tc>
          <w:tcPr>
            <w:tcW w:w="938" w:type="dxa"/>
            <w:gridSpan w:val="5"/>
            <w:shd w:val="clear" w:color="auto" w:fill="FFFFFF"/>
          </w:tcPr>
          <w:p w:rsidR="00AF2E52" w:rsidRPr="00B37C80" w:rsidRDefault="00AF2E52" w:rsidP="00811D46">
            <w:pPr>
              <w:spacing w:line="240" w:lineRule="auto"/>
              <w:rPr>
                <w:rFonts w:ascii="Times New Roman" w:hAnsi="Times New Roman"/>
                <w:color w:val="000000"/>
                <w:sz w:val="21"/>
                <w:szCs w:val="21"/>
              </w:rPr>
            </w:pPr>
          </w:p>
        </w:tc>
        <w:tc>
          <w:tcPr>
            <w:tcW w:w="938" w:type="dxa"/>
            <w:gridSpan w:val="3"/>
            <w:shd w:val="clear" w:color="auto" w:fill="FFFFFF"/>
          </w:tcPr>
          <w:p w:rsidR="00AF2E52" w:rsidRPr="00B37C80" w:rsidRDefault="00AF2E52" w:rsidP="00811D46">
            <w:pPr>
              <w:spacing w:line="240" w:lineRule="auto"/>
              <w:rPr>
                <w:rFonts w:ascii="Times New Roman" w:hAnsi="Times New Roman"/>
                <w:color w:val="000000"/>
                <w:sz w:val="21"/>
                <w:szCs w:val="21"/>
              </w:rPr>
            </w:pPr>
          </w:p>
        </w:tc>
        <w:tc>
          <w:tcPr>
            <w:tcW w:w="937" w:type="dxa"/>
            <w:gridSpan w:val="3"/>
            <w:shd w:val="clear" w:color="auto" w:fill="FFFFFF"/>
          </w:tcPr>
          <w:p w:rsidR="00AF2E52" w:rsidRPr="00B37C80" w:rsidRDefault="00AF2E52" w:rsidP="00811D46">
            <w:pPr>
              <w:spacing w:line="240" w:lineRule="auto"/>
              <w:rPr>
                <w:rFonts w:ascii="Times New Roman" w:hAnsi="Times New Roman"/>
                <w:color w:val="000000"/>
                <w:sz w:val="21"/>
                <w:szCs w:val="21"/>
              </w:rPr>
            </w:pPr>
          </w:p>
        </w:tc>
        <w:tc>
          <w:tcPr>
            <w:tcW w:w="938" w:type="dxa"/>
            <w:gridSpan w:val="4"/>
            <w:shd w:val="clear" w:color="auto" w:fill="FFFFFF"/>
          </w:tcPr>
          <w:p w:rsidR="00AF2E52" w:rsidRPr="00B37C80" w:rsidRDefault="00AF2E52" w:rsidP="00811D46">
            <w:pPr>
              <w:spacing w:line="240" w:lineRule="auto"/>
              <w:rPr>
                <w:rFonts w:ascii="Times New Roman" w:hAnsi="Times New Roman"/>
                <w:color w:val="000000"/>
                <w:sz w:val="21"/>
                <w:szCs w:val="21"/>
              </w:rPr>
            </w:pPr>
          </w:p>
        </w:tc>
        <w:tc>
          <w:tcPr>
            <w:tcW w:w="938" w:type="dxa"/>
            <w:gridSpan w:val="2"/>
            <w:shd w:val="clear" w:color="auto" w:fill="FFFFFF"/>
          </w:tcPr>
          <w:p w:rsidR="00AF2E52" w:rsidRPr="00B37C80" w:rsidRDefault="00AF2E52" w:rsidP="00811D46">
            <w:pPr>
              <w:spacing w:line="240" w:lineRule="auto"/>
              <w:rPr>
                <w:rFonts w:ascii="Times New Roman" w:hAnsi="Times New Roman"/>
                <w:color w:val="000000"/>
                <w:sz w:val="21"/>
                <w:szCs w:val="21"/>
              </w:rPr>
            </w:pPr>
          </w:p>
        </w:tc>
        <w:tc>
          <w:tcPr>
            <w:tcW w:w="1432" w:type="dxa"/>
            <w:gridSpan w:val="2"/>
            <w:shd w:val="clear" w:color="auto" w:fill="FFFFFF"/>
          </w:tcPr>
          <w:p w:rsidR="00AF2E52" w:rsidRPr="00B37C80" w:rsidRDefault="00AF2E52" w:rsidP="00811D46">
            <w:pPr>
              <w:spacing w:line="240" w:lineRule="auto"/>
              <w:rPr>
                <w:rFonts w:ascii="Times New Roman" w:hAnsi="Times New Roman"/>
                <w:color w:val="000000"/>
                <w:spacing w:val="-2"/>
                <w:sz w:val="21"/>
                <w:szCs w:val="21"/>
              </w:rPr>
            </w:pPr>
          </w:p>
        </w:tc>
      </w:tr>
      <w:tr w:rsidR="00AF2E52" w:rsidRPr="008B4FE6" w:rsidTr="00E87163">
        <w:trPr>
          <w:gridAfter w:val="1"/>
          <w:wAfter w:w="10" w:type="dxa"/>
          <w:trHeight w:val="142"/>
        </w:trPr>
        <w:tc>
          <w:tcPr>
            <w:tcW w:w="1590" w:type="dxa"/>
            <w:vMerge w:val="restart"/>
            <w:shd w:val="clear" w:color="auto" w:fill="FFFFFF"/>
          </w:tcPr>
          <w:p w:rsidR="00AF2E52" w:rsidRPr="00301959" w:rsidRDefault="00AF2E52"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89" w:type="dxa"/>
            <w:gridSpan w:val="6"/>
            <w:shd w:val="clear" w:color="auto" w:fill="FFFFFF"/>
          </w:tcPr>
          <w:p w:rsidR="00AF2E52" w:rsidRPr="00301959" w:rsidRDefault="00AF2E52"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058" w:type="dxa"/>
            <w:gridSpan w:val="21"/>
            <w:shd w:val="clear" w:color="auto" w:fill="FFFFFF"/>
          </w:tcPr>
          <w:p w:rsidR="00AF2E52" w:rsidRPr="00B37C80" w:rsidRDefault="00AF2E52" w:rsidP="00811D46">
            <w:pPr>
              <w:spacing w:line="240" w:lineRule="auto"/>
              <w:rPr>
                <w:rFonts w:ascii="Times New Roman" w:hAnsi="Times New Roman"/>
                <w:color w:val="000000"/>
                <w:spacing w:val="-2"/>
                <w:sz w:val="21"/>
                <w:szCs w:val="21"/>
              </w:rPr>
            </w:pPr>
          </w:p>
        </w:tc>
      </w:tr>
      <w:tr w:rsidR="00AF2E52" w:rsidRPr="008B4FE6" w:rsidTr="00E87163">
        <w:trPr>
          <w:gridAfter w:val="1"/>
          <w:wAfter w:w="10" w:type="dxa"/>
          <w:trHeight w:val="142"/>
        </w:trPr>
        <w:tc>
          <w:tcPr>
            <w:tcW w:w="1590" w:type="dxa"/>
            <w:vMerge/>
            <w:shd w:val="clear" w:color="auto" w:fill="FFFFFF"/>
          </w:tcPr>
          <w:p w:rsidR="00AF2E52" w:rsidRPr="00301959" w:rsidRDefault="00AF2E52" w:rsidP="00811D46">
            <w:pPr>
              <w:spacing w:line="240" w:lineRule="auto"/>
              <w:rPr>
                <w:rFonts w:ascii="Times New Roman" w:hAnsi="Times New Roman"/>
                <w:color w:val="000000"/>
                <w:sz w:val="21"/>
                <w:szCs w:val="21"/>
              </w:rPr>
            </w:pPr>
          </w:p>
        </w:tc>
        <w:tc>
          <w:tcPr>
            <w:tcW w:w="2289" w:type="dxa"/>
            <w:gridSpan w:val="6"/>
            <w:shd w:val="clear" w:color="auto" w:fill="FFFFFF"/>
          </w:tcPr>
          <w:p w:rsidR="00AF2E52" w:rsidRPr="00301959" w:rsidRDefault="00AF2E52"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058" w:type="dxa"/>
            <w:gridSpan w:val="21"/>
            <w:shd w:val="clear" w:color="auto" w:fill="FFFFFF"/>
          </w:tcPr>
          <w:p w:rsidR="00AF2E52" w:rsidRPr="00B37C80" w:rsidRDefault="00AF2E52" w:rsidP="00811D46">
            <w:pPr>
              <w:spacing w:line="240" w:lineRule="auto"/>
              <w:rPr>
                <w:rFonts w:ascii="Times New Roman" w:hAnsi="Times New Roman"/>
                <w:color w:val="000000"/>
                <w:spacing w:val="-2"/>
                <w:sz w:val="21"/>
                <w:szCs w:val="21"/>
              </w:rPr>
            </w:pPr>
          </w:p>
        </w:tc>
      </w:tr>
      <w:tr w:rsidR="00AF2E52" w:rsidRPr="008B4FE6" w:rsidTr="00E87163">
        <w:trPr>
          <w:gridAfter w:val="1"/>
          <w:wAfter w:w="10" w:type="dxa"/>
          <w:trHeight w:val="596"/>
        </w:trPr>
        <w:tc>
          <w:tcPr>
            <w:tcW w:w="1590" w:type="dxa"/>
            <w:vMerge/>
            <w:shd w:val="clear" w:color="auto" w:fill="FFFFFF"/>
          </w:tcPr>
          <w:p w:rsidR="00AF2E52" w:rsidRPr="00301959" w:rsidRDefault="00AF2E52" w:rsidP="00811D46">
            <w:pPr>
              <w:spacing w:line="240" w:lineRule="auto"/>
              <w:rPr>
                <w:rFonts w:ascii="Times New Roman" w:hAnsi="Times New Roman"/>
                <w:color w:val="000000"/>
                <w:sz w:val="21"/>
                <w:szCs w:val="21"/>
              </w:rPr>
            </w:pPr>
          </w:p>
        </w:tc>
        <w:tc>
          <w:tcPr>
            <w:tcW w:w="2289" w:type="dxa"/>
            <w:gridSpan w:val="6"/>
            <w:shd w:val="clear" w:color="auto" w:fill="FFFFFF"/>
          </w:tcPr>
          <w:p w:rsidR="00AF2E52" w:rsidRPr="00301959" w:rsidRDefault="00AF2E52" w:rsidP="00955774">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7058" w:type="dxa"/>
            <w:gridSpan w:val="21"/>
            <w:shd w:val="clear" w:color="auto" w:fill="FFFFFF"/>
          </w:tcPr>
          <w:p w:rsidR="00AF2E52" w:rsidRPr="00B37C80" w:rsidRDefault="00AF2E52" w:rsidP="00955774">
            <w:pPr>
              <w:spacing w:line="240" w:lineRule="auto"/>
              <w:rPr>
                <w:rFonts w:ascii="Times New Roman" w:hAnsi="Times New Roman"/>
                <w:color w:val="000000"/>
                <w:spacing w:val="-2"/>
                <w:sz w:val="21"/>
                <w:szCs w:val="21"/>
              </w:rPr>
            </w:pPr>
          </w:p>
        </w:tc>
      </w:tr>
      <w:tr w:rsidR="00AF2E52" w:rsidRPr="008B4FE6" w:rsidTr="00E87163">
        <w:trPr>
          <w:gridAfter w:val="1"/>
          <w:wAfter w:w="10" w:type="dxa"/>
          <w:trHeight w:val="240"/>
        </w:trPr>
        <w:tc>
          <w:tcPr>
            <w:tcW w:w="1590" w:type="dxa"/>
            <w:vMerge/>
            <w:shd w:val="clear" w:color="auto" w:fill="FFFFFF"/>
          </w:tcPr>
          <w:p w:rsidR="00AF2E52" w:rsidRPr="00301959" w:rsidRDefault="00AF2E52" w:rsidP="00811D46">
            <w:pPr>
              <w:spacing w:line="240" w:lineRule="auto"/>
              <w:rPr>
                <w:rFonts w:ascii="Times New Roman" w:hAnsi="Times New Roman"/>
                <w:color w:val="000000"/>
                <w:sz w:val="21"/>
                <w:szCs w:val="21"/>
              </w:rPr>
            </w:pPr>
          </w:p>
        </w:tc>
        <w:tc>
          <w:tcPr>
            <w:tcW w:w="2289" w:type="dxa"/>
            <w:gridSpan w:val="6"/>
            <w:shd w:val="clear" w:color="auto" w:fill="FFFFFF"/>
          </w:tcPr>
          <w:p w:rsidR="00AF2E52" w:rsidRPr="00301959" w:rsidRDefault="00475F26" w:rsidP="00811D46">
            <w:pPr>
              <w:tabs>
                <w:tab w:val="right" w:pos="1936"/>
              </w:tabs>
              <w:rPr>
                <w:rFonts w:ascii="Times New Roman" w:hAnsi="Times New Roman"/>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AF2E52"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00AF2E52"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58" w:type="dxa"/>
            <w:gridSpan w:val="21"/>
            <w:shd w:val="clear" w:color="auto" w:fill="FFFFFF"/>
          </w:tcPr>
          <w:p w:rsidR="00AF2E52" w:rsidRPr="00B37C80" w:rsidRDefault="00AF2E52" w:rsidP="00811D46">
            <w:pPr>
              <w:tabs>
                <w:tab w:val="left" w:pos="3000"/>
              </w:tabs>
              <w:rPr>
                <w:rFonts w:ascii="Times New Roman" w:hAnsi="Times New Roman"/>
                <w:color w:val="000000"/>
                <w:spacing w:val="-2"/>
                <w:sz w:val="21"/>
                <w:szCs w:val="21"/>
              </w:rPr>
            </w:pPr>
          </w:p>
        </w:tc>
      </w:tr>
      <w:tr w:rsidR="00AF2E52" w:rsidRPr="008B4FE6" w:rsidTr="00E87163">
        <w:trPr>
          <w:gridAfter w:val="1"/>
          <w:wAfter w:w="10" w:type="dxa"/>
          <w:trHeight w:val="142"/>
        </w:trPr>
        <w:tc>
          <w:tcPr>
            <w:tcW w:w="1590" w:type="dxa"/>
            <w:vMerge w:val="restart"/>
            <w:shd w:val="clear" w:color="auto" w:fill="FFFFFF"/>
          </w:tcPr>
          <w:p w:rsidR="00AF2E52" w:rsidRPr="00301959" w:rsidRDefault="00AF2E52"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89" w:type="dxa"/>
            <w:gridSpan w:val="6"/>
            <w:shd w:val="clear" w:color="auto" w:fill="FFFFFF"/>
          </w:tcPr>
          <w:p w:rsidR="00AF2E52" w:rsidRPr="00301959" w:rsidRDefault="00475F26"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AF2E52"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00AF2E52"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58" w:type="dxa"/>
            <w:gridSpan w:val="21"/>
            <w:shd w:val="clear" w:color="auto" w:fill="FFFFFF"/>
          </w:tcPr>
          <w:p w:rsidR="00AF2E52" w:rsidRPr="00B37C80" w:rsidRDefault="00AF2E52" w:rsidP="00811D46">
            <w:pPr>
              <w:spacing w:line="240" w:lineRule="auto"/>
              <w:rPr>
                <w:rFonts w:ascii="Times New Roman" w:hAnsi="Times New Roman"/>
                <w:color w:val="000000"/>
                <w:spacing w:val="-2"/>
                <w:sz w:val="21"/>
                <w:szCs w:val="21"/>
              </w:rPr>
            </w:pPr>
          </w:p>
        </w:tc>
      </w:tr>
      <w:tr w:rsidR="00AF2E52" w:rsidRPr="008B4FE6" w:rsidTr="00E87163">
        <w:trPr>
          <w:gridAfter w:val="1"/>
          <w:wAfter w:w="10" w:type="dxa"/>
          <w:trHeight w:val="142"/>
        </w:trPr>
        <w:tc>
          <w:tcPr>
            <w:tcW w:w="1590" w:type="dxa"/>
            <w:vMerge/>
            <w:shd w:val="clear" w:color="auto" w:fill="FFFFFF"/>
          </w:tcPr>
          <w:p w:rsidR="00AF2E52" w:rsidRPr="00301959" w:rsidRDefault="00AF2E52" w:rsidP="00811D46">
            <w:pPr>
              <w:spacing w:line="240" w:lineRule="auto"/>
              <w:rPr>
                <w:rFonts w:ascii="Times New Roman" w:hAnsi="Times New Roman"/>
                <w:color w:val="000000"/>
                <w:sz w:val="21"/>
                <w:szCs w:val="21"/>
              </w:rPr>
            </w:pPr>
          </w:p>
        </w:tc>
        <w:tc>
          <w:tcPr>
            <w:tcW w:w="2289" w:type="dxa"/>
            <w:gridSpan w:val="6"/>
            <w:shd w:val="clear" w:color="auto" w:fill="FFFFFF"/>
          </w:tcPr>
          <w:p w:rsidR="00AF2E52" w:rsidRPr="00301959" w:rsidRDefault="00475F26"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AF2E52"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00AF2E52"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58" w:type="dxa"/>
            <w:gridSpan w:val="21"/>
            <w:shd w:val="clear" w:color="auto" w:fill="FFFFFF"/>
          </w:tcPr>
          <w:p w:rsidR="00AF2E52" w:rsidRPr="00B37C80" w:rsidRDefault="00AF2E52" w:rsidP="00811D46">
            <w:pPr>
              <w:spacing w:line="240" w:lineRule="auto"/>
              <w:rPr>
                <w:rFonts w:ascii="Times New Roman" w:hAnsi="Times New Roman"/>
                <w:color w:val="000000"/>
                <w:spacing w:val="-2"/>
                <w:sz w:val="21"/>
                <w:szCs w:val="21"/>
              </w:rPr>
            </w:pPr>
          </w:p>
        </w:tc>
      </w:tr>
      <w:tr w:rsidR="00AF2E52" w:rsidRPr="008B4FE6" w:rsidTr="00E87163">
        <w:trPr>
          <w:gridAfter w:val="1"/>
          <w:wAfter w:w="10" w:type="dxa"/>
          <w:trHeight w:val="1258"/>
        </w:trPr>
        <w:tc>
          <w:tcPr>
            <w:tcW w:w="2233" w:type="dxa"/>
            <w:gridSpan w:val="3"/>
            <w:shd w:val="clear" w:color="auto" w:fill="FFFFFF"/>
          </w:tcPr>
          <w:p w:rsidR="00AF2E52" w:rsidRPr="00301959" w:rsidRDefault="00AF2E52"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lastRenderedPageBreak/>
              <w:t xml:space="preserve">Dodatkowe informacje, w tym wskazanie źródeł danych i przyjętych do obliczeń założeń </w:t>
            </w:r>
          </w:p>
        </w:tc>
        <w:tc>
          <w:tcPr>
            <w:tcW w:w="8704" w:type="dxa"/>
            <w:gridSpan w:val="25"/>
            <w:shd w:val="clear" w:color="auto" w:fill="FFFFFF"/>
            <w:vAlign w:val="center"/>
          </w:tcPr>
          <w:p w:rsidR="00AF2E52" w:rsidRPr="00301959" w:rsidRDefault="00AF2E52" w:rsidP="00C94AC2">
            <w:pPr>
              <w:spacing w:line="240" w:lineRule="auto"/>
              <w:jc w:val="both"/>
              <w:rPr>
                <w:rFonts w:ascii="Times New Roman" w:hAnsi="Times New Roman"/>
                <w:color w:val="000000"/>
                <w:sz w:val="21"/>
                <w:szCs w:val="21"/>
              </w:rPr>
            </w:pPr>
            <w:r>
              <w:rPr>
                <w:rFonts w:ascii="Times New Roman" w:hAnsi="Times New Roman"/>
              </w:rPr>
              <w:t xml:space="preserve">Przewiduje się, że </w:t>
            </w:r>
            <w:r w:rsidR="00043D78">
              <w:rPr>
                <w:rFonts w:ascii="Times New Roman" w:hAnsi="Times New Roman"/>
              </w:rPr>
              <w:t>wprowadzanie górnej granicy</w:t>
            </w:r>
            <w:r>
              <w:rPr>
                <w:rFonts w:ascii="Times New Roman" w:hAnsi="Times New Roman"/>
              </w:rPr>
              <w:t xml:space="preserve"> wysokości opłaty egzekucyjnej oraz opłaty manipulacyjnej przy jednoczesnym obniżeniu opłaty egzekucyjnej w przypadku dobrowolnej zapłaty należności oraz wprowadzenie maksymalnej wysokości opłaty egzekucyjnej będzie miało neutralny </w:t>
            </w:r>
            <w:r w:rsidRPr="00EB7C75">
              <w:rPr>
                <w:rFonts w:ascii="Times New Roman" w:hAnsi="Times New Roman"/>
              </w:rPr>
              <w:t xml:space="preserve">wpływ </w:t>
            </w:r>
            <w:r>
              <w:rPr>
                <w:rFonts w:ascii="Times New Roman" w:hAnsi="Times New Roman"/>
              </w:rPr>
              <w:t>n</w:t>
            </w:r>
            <w:r w:rsidRPr="00EB7C75">
              <w:rPr>
                <w:rFonts w:ascii="Times New Roman" w:hAnsi="Times New Roman"/>
              </w:rPr>
              <w:t>a konkurencyjność</w:t>
            </w:r>
            <w:r>
              <w:rPr>
                <w:rFonts w:ascii="Times New Roman" w:hAnsi="Times New Roman"/>
              </w:rPr>
              <w:t xml:space="preserve"> </w:t>
            </w:r>
            <w:r w:rsidRPr="00EB7C75">
              <w:rPr>
                <w:rFonts w:ascii="Times New Roman" w:hAnsi="Times New Roman"/>
              </w:rPr>
              <w:t>i przedsiębiorczość, w tym funkcjonowanie przedsiębiorców oraz na rodzinę, obywateli</w:t>
            </w:r>
            <w:r>
              <w:rPr>
                <w:rFonts w:ascii="Times New Roman" w:hAnsi="Times New Roman"/>
              </w:rPr>
              <w:t xml:space="preserve"> </w:t>
            </w:r>
            <w:r w:rsidRPr="00403828">
              <w:rPr>
                <w:rFonts w:ascii="Times New Roman" w:hAnsi="Times New Roman"/>
              </w:rPr>
              <w:t xml:space="preserve">i gospodarstwa domowe. </w:t>
            </w:r>
            <w:r>
              <w:rPr>
                <w:rFonts w:ascii="Times New Roman" w:hAnsi="Times New Roman"/>
              </w:rPr>
              <w:t>W przypadku postępowań egzekucyjnych prowadzonych w celu dochodzenia dużych kwot (postępowania takie w</w:t>
            </w:r>
            <w:r w:rsidR="00043D78">
              <w:rPr>
                <w:rFonts w:ascii="Times New Roman" w:hAnsi="Times New Roman"/>
              </w:rPr>
              <w:t> </w:t>
            </w:r>
            <w:r>
              <w:rPr>
                <w:rFonts w:ascii="Times New Roman" w:hAnsi="Times New Roman"/>
              </w:rPr>
              <w:t>większości dotyczą należności pieniężnych związanych z działalnością gospodarczą) zobowiązani będą ponosili niższe opłaty egzekucyjne w związku z wprowadzeniem maksymalnej ich wysokości.</w:t>
            </w:r>
            <w:r w:rsidR="00C94AC2">
              <w:rPr>
                <w:rFonts w:ascii="Times New Roman" w:hAnsi="Times New Roman"/>
              </w:rPr>
              <w:t xml:space="preserve"> </w:t>
            </w:r>
          </w:p>
        </w:tc>
      </w:tr>
      <w:tr w:rsidR="00AF2E52" w:rsidRPr="008B4FE6" w:rsidTr="00676C8D">
        <w:trPr>
          <w:gridAfter w:val="1"/>
          <w:wAfter w:w="10" w:type="dxa"/>
          <w:trHeight w:val="342"/>
        </w:trPr>
        <w:tc>
          <w:tcPr>
            <w:tcW w:w="10937" w:type="dxa"/>
            <w:gridSpan w:val="28"/>
            <w:shd w:val="clear" w:color="auto" w:fill="99CCFF"/>
            <w:vAlign w:val="center"/>
          </w:tcPr>
          <w:p w:rsidR="00AF2E52" w:rsidRPr="008B4FE6" w:rsidRDefault="00AF2E52" w:rsidP="004F4E17">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AF2E52" w:rsidRPr="008B4FE6" w:rsidTr="00676C8D">
        <w:trPr>
          <w:gridAfter w:val="1"/>
          <w:wAfter w:w="10" w:type="dxa"/>
          <w:trHeight w:val="151"/>
        </w:trPr>
        <w:tc>
          <w:tcPr>
            <w:tcW w:w="10937" w:type="dxa"/>
            <w:gridSpan w:val="28"/>
            <w:shd w:val="clear" w:color="auto" w:fill="FFFFFF"/>
          </w:tcPr>
          <w:p w:rsidR="00AF2E52" w:rsidRPr="008B4FE6" w:rsidRDefault="00475F26" w:rsidP="004F4E17">
            <w:pPr>
              <w:spacing w:line="240" w:lineRule="auto"/>
              <w:rPr>
                <w:rFonts w:ascii="Times New Roman" w:hAnsi="Times New Roman"/>
                <w:color w:val="000000"/>
              </w:rPr>
            </w:pPr>
            <w:sdt>
              <w:sdtPr>
                <w:rPr>
                  <w:rFonts w:ascii="Times New Roman" w:hAnsi="Times New Roman"/>
                  <w:color w:val="000000"/>
                  <w:spacing w:val="-2"/>
                </w:rPr>
                <w:id w:val="1930998347"/>
              </w:sdtPr>
              <w:sdtContent>
                <w:r w:rsidR="00AF2E52">
                  <w:rPr>
                    <w:rFonts w:ascii="MS Gothic" w:eastAsia="MS Gothic" w:hAnsi="MS Gothic" w:hint="eastAsia"/>
                    <w:color w:val="000000"/>
                    <w:spacing w:val="-2"/>
                  </w:rPr>
                  <w:t>☒</w:t>
                </w:r>
              </w:sdtContent>
            </w:sdt>
            <w:r w:rsidR="00AF2E52">
              <w:rPr>
                <w:rFonts w:ascii="Times New Roman" w:hAnsi="Times New Roman"/>
                <w:color w:val="000000"/>
                <w:spacing w:val="-2"/>
              </w:rPr>
              <w:t xml:space="preserve"> </w:t>
            </w:r>
            <w:r w:rsidR="00AF2E52" w:rsidRPr="001A5FDA">
              <w:rPr>
                <w:rFonts w:ascii="Times New Roman" w:hAnsi="Times New Roman"/>
                <w:color w:val="000000"/>
                <w:spacing w:val="-2"/>
              </w:rPr>
              <w:t>nie dotyczy</w:t>
            </w:r>
          </w:p>
        </w:tc>
      </w:tr>
      <w:tr w:rsidR="00AF2E52" w:rsidRPr="008B4FE6" w:rsidTr="00E87163">
        <w:trPr>
          <w:gridAfter w:val="1"/>
          <w:wAfter w:w="10" w:type="dxa"/>
          <w:trHeight w:val="946"/>
        </w:trPr>
        <w:tc>
          <w:tcPr>
            <w:tcW w:w="5101" w:type="dxa"/>
            <w:gridSpan w:val="12"/>
            <w:shd w:val="clear" w:color="auto" w:fill="FFFFFF"/>
          </w:tcPr>
          <w:p w:rsidR="00AF2E52" w:rsidRDefault="00AF2E52" w:rsidP="001B3460">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36" w:type="dxa"/>
            <w:gridSpan w:val="16"/>
            <w:shd w:val="clear" w:color="auto" w:fill="FFFFFF"/>
          </w:tcPr>
          <w:p w:rsidR="00AF2E52" w:rsidRDefault="00475F26" w:rsidP="004F4E17">
            <w:pPr>
              <w:spacing w:line="240" w:lineRule="auto"/>
              <w:rPr>
                <w:rFonts w:ascii="Times New Roman" w:hAnsi="Times New Roman"/>
                <w:color w:val="000000"/>
              </w:rPr>
            </w:pPr>
            <w:sdt>
              <w:sdtPr>
                <w:rPr>
                  <w:rFonts w:ascii="Times New Roman" w:hAnsi="Times New Roman"/>
                  <w:color w:val="000000"/>
                </w:rPr>
                <w:id w:val="-501432790"/>
              </w:sdtPr>
              <w:sdtContent>
                <w:r w:rsidR="00AF2E52">
                  <w:rPr>
                    <w:rFonts w:ascii="MS Gothic" w:eastAsia="MS Gothic" w:hAnsi="MS Gothic" w:hint="eastAsia"/>
                    <w:color w:val="000000"/>
                  </w:rPr>
                  <w:t>☐</w:t>
                </w:r>
              </w:sdtContent>
            </w:sdt>
            <w:r w:rsidR="00AF2E52">
              <w:rPr>
                <w:rFonts w:ascii="Times New Roman" w:hAnsi="Times New Roman"/>
                <w:color w:val="000000"/>
              </w:rPr>
              <w:t xml:space="preserve"> tak</w:t>
            </w:r>
          </w:p>
          <w:p w:rsidR="00AF2E52" w:rsidRDefault="00475F26" w:rsidP="004F4E17">
            <w:pPr>
              <w:spacing w:line="240" w:lineRule="auto"/>
              <w:rPr>
                <w:rFonts w:ascii="Times New Roman" w:hAnsi="Times New Roman"/>
                <w:color w:val="000000"/>
              </w:rPr>
            </w:pPr>
            <w:sdt>
              <w:sdtPr>
                <w:rPr>
                  <w:rFonts w:ascii="Times New Roman" w:hAnsi="Times New Roman"/>
                  <w:color w:val="000000"/>
                </w:rPr>
                <w:id w:val="-1774005171"/>
              </w:sdtPr>
              <w:sdtContent>
                <w:r w:rsidR="00AF2E52">
                  <w:rPr>
                    <w:rFonts w:ascii="MS Gothic" w:eastAsia="MS Gothic" w:hAnsi="MS Gothic" w:hint="eastAsia"/>
                    <w:color w:val="000000"/>
                  </w:rPr>
                  <w:t>☐</w:t>
                </w:r>
              </w:sdtContent>
            </w:sdt>
            <w:r w:rsidR="00AF2E52">
              <w:rPr>
                <w:rFonts w:ascii="Times New Roman" w:hAnsi="Times New Roman"/>
                <w:color w:val="000000"/>
              </w:rPr>
              <w:t xml:space="preserve"> nie</w:t>
            </w:r>
          </w:p>
          <w:p w:rsidR="00AF2E52" w:rsidRDefault="00475F26" w:rsidP="004F4E17">
            <w:pPr>
              <w:rPr>
                <w:rFonts w:ascii="Times New Roman" w:hAnsi="Times New Roman"/>
                <w:color w:val="000000"/>
              </w:rPr>
            </w:pPr>
            <w:sdt>
              <w:sdtPr>
                <w:rPr>
                  <w:rFonts w:ascii="Times New Roman" w:hAnsi="Times New Roman"/>
                  <w:color w:val="000000"/>
                </w:rPr>
                <w:id w:val="351533669"/>
              </w:sdtPr>
              <w:sdtContent>
                <w:r w:rsidR="00AF2E52">
                  <w:rPr>
                    <w:rFonts w:ascii="MS Gothic" w:eastAsia="MS Gothic" w:hAnsi="MS Gothic" w:hint="eastAsia"/>
                    <w:color w:val="000000"/>
                  </w:rPr>
                  <w:t>☐</w:t>
                </w:r>
              </w:sdtContent>
            </w:sdt>
            <w:r w:rsidR="00AF2E52">
              <w:rPr>
                <w:rFonts w:ascii="Times New Roman" w:hAnsi="Times New Roman"/>
                <w:color w:val="000000"/>
              </w:rPr>
              <w:t xml:space="preserve"> nie dotyczy</w:t>
            </w:r>
          </w:p>
        </w:tc>
      </w:tr>
      <w:tr w:rsidR="00AF2E52" w:rsidRPr="008B4FE6" w:rsidTr="00E87163">
        <w:trPr>
          <w:gridAfter w:val="1"/>
          <w:wAfter w:w="10" w:type="dxa"/>
          <w:trHeight w:val="1245"/>
        </w:trPr>
        <w:tc>
          <w:tcPr>
            <w:tcW w:w="5101" w:type="dxa"/>
            <w:gridSpan w:val="12"/>
            <w:shd w:val="clear" w:color="auto" w:fill="FFFFFF"/>
          </w:tcPr>
          <w:p w:rsidR="00AF2E52" w:rsidRPr="008B4FE6" w:rsidRDefault="00475F26" w:rsidP="00AE6CF8">
            <w:pPr>
              <w:spacing w:line="240" w:lineRule="auto"/>
              <w:rPr>
                <w:rFonts w:ascii="Times New Roman" w:hAnsi="Times New Roman"/>
                <w:color w:val="000000"/>
                <w:spacing w:val="-2"/>
              </w:rPr>
            </w:pPr>
            <w:sdt>
              <w:sdtPr>
                <w:rPr>
                  <w:rFonts w:ascii="Times New Roman" w:hAnsi="Times New Roman"/>
                  <w:color w:val="000000"/>
                  <w:spacing w:val="-2"/>
                </w:rPr>
                <w:id w:val="-1646118103"/>
              </w:sdtPr>
              <w:sdtContent>
                <w:r w:rsidR="00AF2E52">
                  <w:rPr>
                    <w:rFonts w:ascii="MS Gothic" w:eastAsia="MS Gothic" w:hAnsi="MS Gothic" w:hint="eastAsia"/>
                    <w:color w:val="000000"/>
                    <w:spacing w:val="-2"/>
                  </w:rPr>
                  <w:t>☐</w:t>
                </w:r>
              </w:sdtContent>
            </w:sdt>
            <w:r w:rsidR="00AF2E52">
              <w:rPr>
                <w:rFonts w:ascii="Times New Roman" w:hAnsi="Times New Roman"/>
                <w:color w:val="000000"/>
                <w:spacing w:val="-2"/>
              </w:rPr>
              <w:t xml:space="preserve"> </w:t>
            </w:r>
            <w:r w:rsidR="00AF2E52" w:rsidRPr="008B4FE6">
              <w:rPr>
                <w:rFonts w:ascii="Times New Roman" w:hAnsi="Times New Roman"/>
                <w:color w:val="000000"/>
                <w:spacing w:val="-2"/>
              </w:rPr>
              <w:t>zmniejszenie liczby dokumentów</w:t>
            </w:r>
            <w:r w:rsidR="00AF2E52">
              <w:rPr>
                <w:rFonts w:ascii="Times New Roman" w:hAnsi="Times New Roman"/>
                <w:color w:val="000000"/>
                <w:spacing w:val="-2"/>
              </w:rPr>
              <w:t xml:space="preserve"> </w:t>
            </w:r>
          </w:p>
          <w:p w:rsidR="00AF2E52" w:rsidRPr="008B4FE6" w:rsidRDefault="00475F26" w:rsidP="00AE6CF8">
            <w:pPr>
              <w:spacing w:line="240" w:lineRule="auto"/>
              <w:rPr>
                <w:rFonts w:ascii="Times New Roman" w:hAnsi="Times New Roman"/>
                <w:color w:val="000000"/>
                <w:spacing w:val="-2"/>
              </w:rPr>
            </w:pPr>
            <w:sdt>
              <w:sdtPr>
                <w:rPr>
                  <w:rFonts w:ascii="Times New Roman" w:hAnsi="Times New Roman"/>
                  <w:color w:val="000000"/>
                  <w:spacing w:val="-2"/>
                </w:rPr>
                <w:id w:val="1876505849"/>
              </w:sdtPr>
              <w:sdtContent>
                <w:r w:rsidR="00AF2E52">
                  <w:rPr>
                    <w:rFonts w:ascii="MS Gothic" w:eastAsia="MS Gothic" w:hAnsi="MS Gothic" w:hint="eastAsia"/>
                    <w:color w:val="000000"/>
                    <w:spacing w:val="-2"/>
                  </w:rPr>
                  <w:t>☐</w:t>
                </w:r>
              </w:sdtContent>
            </w:sdt>
            <w:r w:rsidR="00AF2E52">
              <w:rPr>
                <w:rFonts w:ascii="Times New Roman" w:hAnsi="Times New Roman"/>
                <w:color w:val="000000"/>
                <w:spacing w:val="-2"/>
              </w:rPr>
              <w:t xml:space="preserve"> </w:t>
            </w:r>
            <w:r w:rsidR="00AF2E52" w:rsidRPr="008B4FE6">
              <w:rPr>
                <w:rFonts w:ascii="Times New Roman" w:hAnsi="Times New Roman"/>
                <w:color w:val="000000"/>
                <w:spacing w:val="-2"/>
              </w:rPr>
              <w:t>zmniejszenie liczby procedur</w:t>
            </w:r>
          </w:p>
          <w:p w:rsidR="00AF2E52" w:rsidRDefault="00475F26" w:rsidP="00AE6CF8">
            <w:pPr>
              <w:spacing w:line="240" w:lineRule="auto"/>
              <w:rPr>
                <w:rFonts w:ascii="Times New Roman" w:hAnsi="Times New Roman"/>
                <w:color w:val="000000"/>
                <w:spacing w:val="-2"/>
              </w:rPr>
            </w:pPr>
            <w:sdt>
              <w:sdtPr>
                <w:rPr>
                  <w:rFonts w:ascii="Times New Roman" w:hAnsi="Times New Roman"/>
                  <w:color w:val="000000"/>
                  <w:spacing w:val="-2"/>
                </w:rPr>
                <w:id w:val="-2082051990"/>
              </w:sdtPr>
              <w:sdtContent>
                <w:r w:rsidR="00AF2E52">
                  <w:rPr>
                    <w:rFonts w:ascii="MS Gothic" w:eastAsia="MS Gothic" w:hAnsi="MS Gothic" w:hint="eastAsia"/>
                    <w:color w:val="000000"/>
                    <w:spacing w:val="-2"/>
                  </w:rPr>
                  <w:t>☐</w:t>
                </w:r>
              </w:sdtContent>
            </w:sdt>
            <w:r w:rsidR="00AF2E52">
              <w:rPr>
                <w:rFonts w:ascii="Times New Roman" w:hAnsi="Times New Roman"/>
                <w:color w:val="000000"/>
                <w:spacing w:val="-2"/>
              </w:rPr>
              <w:t xml:space="preserve"> </w:t>
            </w:r>
            <w:r w:rsidR="00AF2E52" w:rsidRPr="008B4FE6">
              <w:rPr>
                <w:rFonts w:ascii="Times New Roman" w:hAnsi="Times New Roman"/>
                <w:color w:val="000000"/>
                <w:spacing w:val="-2"/>
              </w:rPr>
              <w:t>skrócenie czasu</w:t>
            </w:r>
            <w:r w:rsidR="00AF2E52">
              <w:rPr>
                <w:rFonts w:ascii="Times New Roman" w:hAnsi="Times New Roman"/>
                <w:color w:val="000000"/>
                <w:spacing w:val="-2"/>
              </w:rPr>
              <w:t xml:space="preserve"> na załatwienie sprawy</w:t>
            </w:r>
          </w:p>
          <w:p w:rsidR="00AF2E52" w:rsidRPr="008B4FE6" w:rsidRDefault="00475F26" w:rsidP="007415D0">
            <w:pPr>
              <w:rPr>
                <w:rFonts w:ascii="Times New Roman" w:hAnsi="Times New Roman"/>
                <w:b/>
                <w:color w:val="000000"/>
                <w:spacing w:val="-2"/>
              </w:rPr>
            </w:pPr>
            <w:sdt>
              <w:sdtPr>
                <w:rPr>
                  <w:rFonts w:ascii="Times New Roman" w:hAnsi="Times New Roman"/>
                  <w:color w:val="000000"/>
                  <w:spacing w:val="-2"/>
                </w:rPr>
                <w:id w:val="2112540246"/>
              </w:sdtPr>
              <w:sdtContent>
                <w:r w:rsidR="00AF2E52">
                  <w:rPr>
                    <w:rFonts w:ascii="MS Gothic" w:eastAsia="MS Gothic" w:hAnsi="MS Gothic" w:hint="eastAsia"/>
                    <w:color w:val="000000"/>
                    <w:spacing w:val="-2"/>
                  </w:rPr>
                  <w:t>☐</w:t>
                </w:r>
              </w:sdtContent>
            </w:sdt>
            <w:r w:rsidR="00AF2E52">
              <w:rPr>
                <w:rFonts w:ascii="Times New Roman" w:hAnsi="Times New Roman"/>
                <w:color w:val="000000"/>
                <w:spacing w:val="-2"/>
              </w:rPr>
              <w:t xml:space="preserve"> </w:t>
            </w:r>
            <w:r w:rsidR="00AF2E52" w:rsidRPr="008B4FE6">
              <w:rPr>
                <w:rFonts w:ascii="Times New Roman" w:hAnsi="Times New Roman"/>
                <w:color w:val="000000"/>
                <w:spacing w:val="-2"/>
              </w:rPr>
              <w:t>inne:</w:t>
            </w:r>
            <w:r w:rsidR="00AF2E52" w:rsidRPr="008B4FE6">
              <w:rPr>
                <w:rFonts w:ascii="Times New Roman" w:hAnsi="Times New Roman"/>
                <w:color w:val="000000"/>
              </w:rPr>
              <w:t xml:space="preserve"> </w:t>
            </w:r>
            <w:r w:rsidR="00AF2E52">
              <w:rPr>
                <w:rFonts w:ascii="Times New Roman" w:hAnsi="Times New Roman"/>
                <w:color w:val="000000"/>
              </w:rPr>
              <w:t>…</w:t>
            </w:r>
          </w:p>
        </w:tc>
        <w:tc>
          <w:tcPr>
            <w:tcW w:w="5836" w:type="dxa"/>
            <w:gridSpan w:val="16"/>
            <w:shd w:val="clear" w:color="auto" w:fill="FFFFFF"/>
          </w:tcPr>
          <w:p w:rsidR="00AF2E52" w:rsidRPr="008B4FE6" w:rsidRDefault="00475F26" w:rsidP="00AE6CF8">
            <w:pPr>
              <w:spacing w:line="240" w:lineRule="auto"/>
              <w:rPr>
                <w:rFonts w:ascii="Times New Roman" w:hAnsi="Times New Roman"/>
                <w:color w:val="000000"/>
                <w:spacing w:val="-2"/>
              </w:rPr>
            </w:pPr>
            <w:sdt>
              <w:sdtPr>
                <w:rPr>
                  <w:rFonts w:ascii="Times New Roman" w:hAnsi="Times New Roman"/>
                  <w:color w:val="000000"/>
                  <w:spacing w:val="-2"/>
                </w:rPr>
                <w:id w:val="2104995084"/>
              </w:sdtPr>
              <w:sdtContent>
                <w:r w:rsidR="00AF2E52">
                  <w:rPr>
                    <w:rFonts w:ascii="MS Gothic" w:eastAsia="MS Gothic" w:hAnsi="MS Gothic" w:hint="eastAsia"/>
                    <w:color w:val="000000"/>
                    <w:spacing w:val="-2"/>
                  </w:rPr>
                  <w:t>☐</w:t>
                </w:r>
              </w:sdtContent>
            </w:sdt>
            <w:r w:rsidR="00AF2E52">
              <w:rPr>
                <w:rFonts w:ascii="Times New Roman" w:hAnsi="Times New Roman"/>
                <w:color w:val="000000"/>
                <w:spacing w:val="-2"/>
              </w:rPr>
              <w:t xml:space="preserve"> </w:t>
            </w:r>
            <w:r w:rsidR="00AF2E52" w:rsidRPr="008B4FE6">
              <w:rPr>
                <w:rFonts w:ascii="Times New Roman" w:hAnsi="Times New Roman"/>
                <w:color w:val="000000"/>
                <w:spacing w:val="-2"/>
              </w:rPr>
              <w:t>zwiększenie liczby dokumentów</w:t>
            </w:r>
          </w:p>
          <w:p w:rsidR="00AF2E52" w:rsidRPr="008B4FE6" w:rsidRDefault="00475F26" w:rsidP="00AE6CF8">
            <w:pPr>
              <w:spacing w:line="240" w:lineRule="auto"/>
              <w:rPr>
                <w:rFonts w:ascii="Times New Roman" w:hAnsi="Times New Roman"/>
                <w:color w:val="000000"/>
                <w:spacing w:val="-2"/>
              </w:rPr>
            </w:pPr>
            <w:sdt>
              <w:sdtPr>
                <w:rPr>
                  <w:rFonts w:ascii="Times New Roman" w:hAnsi="Times New Roman"/>
                  <w:color w:val="000000"/>
                </w:rPr>
                <w:id w:val="762415844"/>
              </w:sdtPr>
              <w:sdtContent>
                <w:r w:rsidR="00AF2E52">
                  <w:rPr>
                    <w:rFonts w:ascii="MS Gothic" w:eastAsia="MS Gothic" w:hAnsi="MS Gothic" w:hint="eastAsia"/>
                    <w:color w:val="000000"/>
                  </w:rPr>
                  <w:t>☐</w:t>
                </w:r>
              </w:sdtContent>
            </w:sdt>
            <w:r w:rsidR="00AF2E52">
              <w:rPr>
                <w:rFonts w:ascii="Times New Roman" w:hAnsi="Times New Roman"/>
                <w:color w:val="000000"/>
              </w:rPr>
              <w:t xml:space="preserve"> </w:t>
            </w:r>
            <w:r w:rsidR="00AF2E52" w:rsidRPr="008B4FE6">
              <w:rPr>
                <w:rFonts w:ascii="Times New Roman" w:hAnsi="Times New Roman"/>
                <w:color w:val="000000"/>
                <w:spacing w:val="-2"/>
              </w:rPr>
              <w:t>zwiększenie liczby procedur</w:t>
            </w:r>
          </w:p>
          <w:p w:rsidR="00AF2E52" w:rsidRPr="008B4FE6" w:rsidRDefault="00475F26" w:rsidP="00AE6CF8">
            <w:pPr>
              <w:spacing w:line="240" w:lineRule="auto"/>
              <w:rPr>
                <w:rFonts w:ascii="Times New Roman" w:hAnsi="Times New Roman"/>
                <w:color w:val="000000"/>
                <w:spacing w:val="-2"/>
              </w:rPr>
            </w:pPr>
            <w:sdt>
              <w:sdtPr>
                <w:rPr>
                  <w:rFonts w:ascii="Times New Roman" w:hAnsi="Times New Roman"/>
                  <w:color w:val="000000"/>
                  <w:spacing w:val="-2"/>
                </w:rPr>
                <w:id w:val="-357036351"/>
              </w:sdtPr>
              <w:sdtContent>
                <w:r w:rsidR="00AF2E52">
                  <w:rPr>
                    <w:rFonts w:ascii="MS Gothic" w:eastAsia="MS Gothic" w:hAnsi="MS Gothic" w:hint="eastAsia"/>
                    <w:color w:val="000000"/>
                    <w:spacing w:val="-2"/>
                  </w:rPr>
                  <w:t>☐</w:t>
                </w:r>
              </w:sdtContent>
            </w:sdt>
            <w:r w:rsidR="00AF2E52">
              <w:rPr>
                <w:rFonts w:ascii="Times New Roman" w:hAnsi="Times New Roman"/>
                <w:color w:val="000000"/>
                <w:spacing w:val="-2"/>
              </w:rPr>
              <w:t xml:space="preserve"> </w:t>
            </w:r>
            <w:r w:rsidR="00AF2E52" w:rsidRPr="008B4FE6">
              <w:rPr>
                <w:rFonts w:ascii="Times New Roman" w:hAnsi="Times New Roman"/>
                <w:color w:val="000000"/>
                <w:spacing w:val="-2"/>
              </w:rPr>
              <w:t>wydłużenie czasu</w:t>
            </w:r>
            <w:r w:rsidR="00AF2E52">
              <w:rPr>
                <w:rFonts w:ascii="Times New Roman" w:hAnsi="Times New Roman"/>
                <w:color w:val="000000"/>
                <w:spacing w:val="-2"/>
              </w:rPr>
              <w:t xml:space="preserve"> na załatwienie sprawy</w:t>
            </w:r>
          </w:p>
          <w:p w:rsidR="00AF2E52" w:rsidRPr="008B4FE6" w:rsidRDefault="00475F26" w:rsidP="00AE6CF8">
            <w:pPr>
              <w:spacing w:line="240" w:lineRule="auto"/>
              <w:rPr>
                <w:rFonts w:ascii="Times New Roman" w:hAnsi="Times New Roman"/>
                <w:color w:val="000000"/>
              </w:rPr>
            </w:pPr>
            <w:sdt>
              <w:sdtPr>
                <w:rPr>
                  <w:rFonts w:ascii="Times New Roman" w:hAnsi="Times New Roman"/>
                  <w:color w:val="000000"/>
                  <w:spacing w:val="-2"/>
                </w:rPr>
                <w:id w:val="1149557140"/>
              </w:sdtPr>
              <w:sdtContent>
                <w:r w:rsidR="00AF2E52">
                  <w:rPr>
                    <w:rFonts w:ascii="MS Gothic" w:eastAsia="MS Gothic" w:hAnsi="MS Gothic" w:hint="eastAsia"/>
                    <w:color w:val="000000"/>
                    <w:spacing w:val="-2"/>
                  </w:rPr>
                  <w:t>☐</w:t>
                </w:r>
              </w:sdtContent>
            </w:sdt>
            <w:r w:rsidR="00AF2E52">
              <w:rPr>
                <w:rFonts w:ascii="Times New Roman" w:hAnsi="Times New Roman"/>
                <w:color w:val="000000"/>
                <w:spacing w:val="-2"/>
              </w:rPr>
              <w:t xml:space="preserve"> </w:t>
            </w:r>
            <w:r w:rsidR="00AF2E52" w:rsidRPr="008B4FE6">
              <w:rPr>
                <w:rFonts w:ascii="Times New Roman" w:hAnsi="Times New Roman"/>
                <w:color w:val="000000"/>
                <w:spacing w:val="-2"/>
              </w:rPr>
              <w:t>inne:</w:t>
            </w:r>
            <w:r w:rsidR="00AF2E52" w:rsidRPr="008B4FE6">
              <w:rPr>
                <w:rFonts w:ascii="Times New Roman" w:hAnsi="Times New Roman"/>
                <w:color w:val="000000"/>
              </w:rPr>
              <w:t xml:space="preserve"> </w:t>
            </w:r>
            <w:r w:rsidR="00AF2E52">
              <w:rPr>
                <w:rFonts w:ascii="Times New Roman" w:hAnsi="Times New Roman"/>
                <w:color w:val="000000"/>
              </w:rPr>
              <w:t>…</w:t>
            </w:r>
          </w:p>
          <w:p w:rsidR="00AF2E52" w:rsidRPr="008B4FE6" w:rsidRDefault="00AF2E52" w:rsidP="00AE6CF8">
            <w:pPr>
              <w:spacing w:line="240" w:lineRule="auto"/>
              <w:rPr>
                <w:rFonts w:ascii="Times New Roman" w:hAnsi="Times New Roman"/>
                <w:color w:val="000000"/>
              </w:rPr>
            </w:pPr>
          </w:p>
        </w:tc>
      </w:tr>
      <w:tr w:rsidR="00AF2E52" w:rsidRPr="008B4FE6" w:rsidTr="00E87163">
        <w:trPr>
          <w:gridAfter w:val="1"/>
          <w:wAfter w:w="10" w:type="dxa"/>
          <w:trHeight w:val="870"/>
        </w:trPr>
        <w:tc>
          <w:tcPr>
            <w:tcW w:w="5101" w:type="dxa"/>
            <w:gridSpan w:val="12"/>
            <w:shd w:val="clear" w:color="auto" w:fill="FFFFFF"/>
          </w:tcPr>
          <w:p w:rsidR="00AF2E52" w:rsidRPr="008B4FE6" w:rsidRDefault="00AF2E52" w:rsidP="004F4E17">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36" w:type="dxa"/>
            <w:gridSpan w:val="16"/>
            <w:shd w:val="clear" w:color="auto" w:fill="FFFFFF"/>
          </w:tcPr>
          <w:p w:rsidR="00AF2E52" w:rsidRDefault="00475F26" w:rsidP="00BF0DA2">
            <w:pPr>
              <w:spacing w:line="240" w:lineRule="auto"/>
              <w:rPr>
                <w:rFonts w:ascii="Times New Roman" w:hAnsi="Times New Roman"/>
                <w:color w:val="000000"/>
              </w:rPr>
            </w:pPr>
            <w:sdt>
              <w:sdtPr>
                <w:rPr>
                  <w:rFonts w:ascii="Times New Roman" w:hAnsi="Times New Roman"/>
                  <w:color w:val="000000"/>
                </w:rPr>
                <w:id w:val="297268939"/>
              </w:sdtPr>
              <w:sdtContent>
                <w:r w:rsidR="00AF2E52">
                  <w:rPr>
                    <w:rFonts w:ascii="MS Gothic" w:eastAsia="MS Gothic" w:hAnsi="MS Gothic" w:hint="eastAsia"/>
                    <w:color w:val="000000"/>
                  </w:rPr>
                  <w:t>☐</w:t>
                </w:r>
              </w:sdtContent>
            </w:sdt>
            <w:r w:rsidR="00AF2E52">
              <w:rPr>
                <w:rFonts w:ascii="Times New Roman" w:hAnsi="Times New Roman"/>
                <w:color w:val="000000"/>
              </w:rPr>
              <w:t xml:space="preserve"> tak</w:t>
            </w:r>
          </w:p>
          <w:p w:rsidR="00AF2E52" w:rsidRDefault="00475F26" w:rsidP="00BF0DA2">
            <w:pPr>
              <w:spacing w:line="240" w:lineRule="auto"/>
              <w:rPr>
                <w:rFonts w:ascii="Times New Roman" w:hAnsi="Times New Roman"/>
                <w:color w:val="000000"/>
              </w:rPr>
            </w:pPr>
            <w:sdt>
              <w:sdtPr>
                <w:rPr>
                  <w:rFonts w:ascii="Times New Roman" w:hAnsi="Times New Roman"/>
                  <w:color w:val="000000"/>
                </w:rPr>
                <w:id w:val="-1887021666"/>
              </w:sdtPr>
              <w:sdtContent>
                <w:r w:rsidR="00AF2E52">
                  <w:rPr>
                    <w:rFonts w:ascii="MS Gothic" w:eastAsia="MS Gothic" w:hAnsi="MS Gothic" w:hint="eastAsia"/>
                    <w:color w:val="000000"/>
                  </w:rPr>
                  <w:t>☐</w:t>
                </w:r>
              </w:sdtContent>
            </w:sdt>
            <w:r w:rsidR="00AF2E52">
              <w:rPr>
                <w:rFonts w:ascii="Times New Roman" w:hAnsi="Times New Roman"/>
                <w:color w:val="000000"/>
              </w:rPr>
              <w:t xml:space="preserve"> nie</w:t>
            </w:r>
          </w:p>
          <w:p w:rsidR="00AF2E52" w:rsidRDefault="00475F26" w:rsidP="00BF0DA2">
            <w:pPr>
              <w:spacing w:line="240" w:lineRule="auto"/>
              <w:rPr>
                <w:rFonts w:ascii="Times New Roman" w:hAnsi="Times New Roman"/>
                <w:color w:val="000000"/>
              </w:rPr>
            </w:pPr>
            <w:sdt>
              <w:sdtPr>
                <w:rPr>
                  <w:rFonts w:ascii="Times New Roman" w:hAnsi="Times New Roman"/>
                  <w:color w:val="000000"/>
                </w:rPr>
                <w:id w:val="1904862519"/>
              </w:sdtPr>
              <w:sdtContent>
                <w:r w:rsidR="00AF2E52">
                  <w:rPr>
                    <w:rFonts w:ascii="MS Gothic" w:eastAsia="MS Gothic" w:hAnsi="MS Gothic" w:hint="eastAsia"/>
                    <w:color w:val="000000"/>
                  </w:rPr>
                  <w:t>☐</w:t>
                </w:r>
              </w:sdtContent>
            </w:sdt>
            <w:r w:rsidR="00AF2E52">
              <w:rPr>
                <w:rFonts w:ascii="Times New Roman" w:hAnsi="Times New Roman"/>
                <w:color w:val="000000"/>
              </w:rPr>
              <w:t xml:space="preserve"> nie dotyczy</w:t>
            </w:r>
          </w:p>
          <w:p w:rsidR="00AF2E52" w:rsidRPr="008B4FE6" w:rsidRDefault="00AF2E52" w:rsidP="00BF0DA2">
            <w:pPr>
              <w:spacing w:line="240" w:lineRule="auto"/>
              <w:rPr>
                <w:rFonts w:ascii="Times New Roman" w:hAnsi="Times New Roman"/>
                <w:color w:val="000000"/>
              </w:rPr>
            </w:pPr>
          </w:p>
        </w:tc>
      </w:tr>
      <w:tr w:rsidR="00AF2E52" w:rsidRPr="008B4FE6" w:rsidTr="0003312F">
        <w:trPr>
          <w:gridAfter w:val="1"/>
          <w:wAfter w:w="10" w:type="dxa"/>
          <w:trHeight w:val="266"/>
        </w:trPr>
        <w:tc>
          <w:tcPr>
            <w:tcW w:w="10937" w:type="dxa"/>
            <w:gridSpan w:val="28"/>
            <w:shd w:val="clear" w:color="auto" w:fill="FFFFFF"/>
          </w:tcPr>
          <w:p w:rsidR="00AF2E52" w:rsidRPr="008B4FE6" w:rsidRDefault="00AF2E52" w:rsidP="0003312F">
            <w:pPr>
              <w:spacing w:line="240" w:lineRule="auto"/>
              <w:jc w:val="both"/>
              <w:rPr>
                <w:rFonts w:ascii="Times New Roman" w:hAnsi="Times New Roman"/>
                <w:color w:val="000000"/>
              </w:rPr>
            </w:pPr>
            <w:r>
              <w:rPr>
                <w:rFonts w:ascii="Times New Roman" w:hAnsi="Times New Roman"/>
                <w:color w:val="000000"/>
              </w:rPr>
              <w:t>Komentarz:</w:t>
            </w:r>
          </w:p>
        </w:tc>
      </w:tr>
      <w:tr w:rsidR="00AF2E52" w:rsidRPr="008B4FE6" w:rsidTr="00676C8D">
        <w:trPr>
          <w:gridAfter w:val="1"/>
          <w:wAfter w:w="10" w:type="dxa"/>
          <w:trHeight w:val="142"/>
        </w:trPr>
        <w:tc>
          <w:tcPr>
            <w:tcW w:w="10937" w:type="dxa"/>
            <w:gridSpan w:val="28"/>
            <w:shd w:val="clear" w:color="auto" w:fill="99CCFF"/>
          </w:tcPr>
          <w:p w:rsidR="00AF2E52" w:rsidRPr="008B4FE6" w:rsidRDefault="00AF2E52"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AF2E52" w:rsidRPr="008B4FE6" w:rsidTr="00676C8D">
        <w:trPr>
          <w:gridAfter w:val="1"/>
          <w:wAfter w:w="10" w:type="dxa"/>
          <w:trHeight w:val="142"/>
        </w:trPr>
        <w:tc>
          <w:tcPr>
            <w:tcW w:w="10937" w:type="dxa"/>
            <w:gridSpan w:val="28"/>
            <w:shd w:val="clear" w:color="auto" w:fill="auto"/>
          </w:tcPr>
          <w:p w:rsidR="00AF2E52" w:rsidRPr="008B4FE6" w:rsidRDefault="00AF2E52" w:rsidP="0003312F">
            <w:pPr>
              <w:spacing w:line="240" w:lineRule="auto"/>
              <w:jc w:val="both"/>
              <w:rPr>
                <w:rFonts w:ascii="Times New Roman" w:hAnsi="Times New Roman"/>
                <w:color w:val="000000"/>
              </w:rPr>
            </w:pPr>
            <w:r w:rsidRPr="004B1691">
              <w:rPr>
                <w:rFonts w:ascii="Times New Roman" w:hAnsi="Times New Roman"/>
                <w:color w:val="000000"/>
                <w:spacing w:val="-2"/>
              </w:rPr>
              <w:t>Projektowana ustawa nie będzie miała wpływu na rynek pracy.</w:t>
            </w:r>
          </w:p>
        </w:tc>
      </w:tr>
      <w:tr w:rsidR="00AF2E52" w:rsidRPr="008B4FE6" w:rsidTr="00676C8D">
        <w:trPr>
          <w:gridAfter w:val="1"/>
          <w:wAfter w:w="10" w:type="dxa"/>
          <w:trHeight w:val="142"/>
        </w:trPr>
        <w:tc>
          <w:tcPr>
            <w:tcW w:w="10937" w:type="dxa"/>
            <w:gridSpan w:val="28"/>
            <w:shd w:val="clear" w:color="auto" w:fill="99CCFF"/>
          </w:tcPr>
          <w:p w:rsidR="00AF2E52" w:rsidRPr="008B4FE6" w:rsidRDefault="00AF2E52"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AF2E52" w:rsidRPr="008B4FE6" w:rsidTr="00E87163">
        <w:trPr>
          <w:gridAfter w:val="1"/>
          <w:wAfter w:w="10" w:type="dxa"/>
          <w:trHeight w:val="1031"/>
        </w:trPr>
        <w:tc>
          <w:tcPr>
            <w:tcW w:w="3541" w:type="dxa"/>
            <w:gridSpan w:val="6"/>
            <w:shd w:val="clear" w:color="auto" w:fill="FFFFFF"/>
          </w:tcPr>
          <w:p w:rsidR="00AF2E52" w:rsidRPr="008B4FE6" w:rsidRDefault="00AF2E52" w:rsidP="00254DED">
            <w:pPr>
              <w:spacing w:line="240" w:lineRule="auto"/>
              <w:rPr>
                <w:rFonts w:ascii="Times New Roman" w:hAnsi="Times New Roman"/>
                <w:color w:val="000000"/>
              </w:rPr>
            </w:pPr>
          </w:p>
          <w:p w:rsidR="00AF2E52" w:rsidRPr="008B4FE6" w:rsidRDefault="00475F26" w:rsidP="00254DED">
            <w:pPr>
              <w:spacing w:line="240" w:lineRule="auto"/>
              <w:rPr>
                <w:rFonts w:ascii="Times New Roman" w:hAnsi="Times New Roman"/>
                <w:color w:val="000000"/>
                <w:spacing w:val="-2"/>
              </w:rPr>
            </w:pPr>
            <w:sdt>
              <w:sdtPr>
                <w:rPr>
                  <w:rFonts w:ascii="Times New Roman" w:hAnsi="Times New Roman"/>
                  <w:color w:val="000000"/>
                </w:rPr>
                <w:id w:val="365952688"/>
              </w:sdtPr>
              <w:sdtContent>
                <w:r w:rsidR="00AF2E52">
                  <w:rPr>
                    <w:rFonts w:ascii="MS Gothic" w:eastAsia="MS Gothic" w:hAnsi="MS Gothic" w:hint="eastAsia"/>
                    <w:color w:val="000000"/>
                  </w:rPr>
                  <w:t>☐</w:t>
                </w:r>
              </w:sdtContent>
            </w:sdt>
            <w:r w:rsidR="00AF2E52">
              <w:rPr>
                <w:rFonts w:ascii="Times New Roman" w:hAnsi="Times New Roman"/>
                <w:color w:val="000000"/>
              </w:rPr>
              <w:t xml:space="preserve"> </w:t>
            </w:r>
            <w:r w:rsidR="00AF2E52" w:rsidRPr="008B4FE6">
              <w:rPr>
                <w:rFonts w:ascii="Times New Roman" w:hAnsi="Times New Roman"/>
                <w:color w:val="000000"/>
                <w:spacing w:val="-2"/>
              </w:rPr>
              <w:t>środowisko naturalne</w:t>
            </w:r>
          </w:p>
          <w:p w:rsidR="00AF2E52" w:rsidRDefault="00475F26" w:rsidP="006A701A">
            <w:pPr>
              <w:spacing w:line="240" w:lineRule="auto"/>
              <w:rPr>
                <w:rFonts w:ascii="Times New Roman" w:hAnsi="Times New Roman"/>
                <w:color w:val="000000"/>
              </w:rPr>
            </w:pPr>
            <w:sdt>
              <w:sdtPr>
                <w:rPr>
                  <w:rFonts w:ascii="Times New Roman" w:hAnsi="Times New Roman"/>
                  <w:color w:val="000000"/>
                </w:rPr>
                <w:id w:val="-1888785328"/>
              </w:sdtPr>
              <w:sdtContent>
                <w:r w:rsidR="00AF2E52">
                  <w:rPr>
                    <w:rFonts w:ascii="MS Gothic" w:eastAsia="MS Gothic" w:hAnsi="MS Gothic" w:hint="eastAsia"/>
                    <w:color w:val="000000"/>
                  </w:rPr>
                  <w:t>☐</w:t>
                </w:r>
              </w:sdtContent>
            </w:sdt>
            <w:r w:rsidR="00AF2E52">
              <w:rPr>
                <w:rFonts w:ascii="Times New Roman" w:hAnsi="Times New Roman"/>
                <w:color w:val="000000"/>
              </w:rPr>
              <w:t xml:space="preserve"> </w:t>
            </w:r>
            <w:r w:rsidR="00AF2E52" w:rsidRPr="008B4FE6">
              <w:rPr>
                <w:rFonts w:ascii="Times New Roman" w:hAnsi="Times New Roman"/>
                <w:color w:val="000000"/>
              </w:rPr>
              <w:t>sytuacja i rozwój regionalny</w:t>
            </w:r>
          </w:p>
          <w:p w:rsidR="00AF2E52" w:rsidRPr="008B4FE6" w:rsidRDefault="00475F26" w:rsidP="007415D0">
            <w:pPr>
              <w:spacing w:line="240" w:lineRule="auto"/>
              <w:rPr>
                <w:rFonts w:ascii="Times New Roman" w:hAnsi="Times New Roman"/>
                <w:color w:val="000000"/>
                <w:spacing w:val="-2"/>
              </w:rPr>
            </w:pPr>
            <w:sdt>
              <w:sdtPr>
                <w:rPr>
                  <w:rFonts w:ascii="Times New Roman" w:hAnsi="Times New Roman"/>
                  <w:color w:val="000000"/>
                  <w:spacing w:val="-2"/>
                </w:rPr>
                <w:id w:val="366884454"/>
              </w:sdtPr>
              <w:sdtContent>
                <w:r w:rsidR="00AF2E52">
                  <w:rPr>
                    <w:rFonts w:ascii="MS Gothic" w:eastAsia="MS Gothic" w:hAnsi="MS Gothic" w:hint="eastAsia"/>
                    <w:color w:val="000000"/>
                    <w:spacing w:val="-2"/>
                  </w:rPr>
                  <w:t>☐</w:t>
                </w:r>
              </w:sdtContent>
            </w:sdt>
            <w:r w:rsidR="00AF2E52">
              <w:rPr>
                <w:rFonts w:ascii="Times New Roman" w:hAnsi="Times New Roman"/>
                <w:color w:val="000000"/>
                <w:spacing w:val="-2"/>
              </w:rPr>
              <w:t xml:space="preserve"> </w:t>
            </w:r>
            <w:r w:rsidR="00AF2E52" w:rsidRPr="008B4FE6">
              <w:rPr>
                <w:rFonts w:ascii="Times New Roman" w:hAnsi="Times New Roman"/>
                <w:color w:val="000000"/>
                <w:spacing w:val="-2"/>
              </w:rPr>
              <w:t xml:space="preserve">inne: </w:t>
            </w:r>
            <w:r w:rsidR="00AF2E52">
              <w:rPr>
                <w:rFonts w:ascii="Times New Roman" w:hAnsi="Times New Roman"/>
                <w:color w:val="000000"/>
              </w:rPr>
              <w:t>…</w:t>
            </w:r>
          </w:p>
        </w:tc>
        <w:tc>
          <w:tcPr>
            <w:tcW w:w="3688" w:type="dxa"/>
            <w:gridSpan w:val="13"/>
            <w:shd w:val="clear" w:color="auto" w:fill="FFFFFF"/>
          </w:tcPr>
          <w:p w:rsidR="00AF2E52" w:rsidRPr="008B4FE6" w:rsidRDefault="00AF2E52" w:rsidP="00254DED">
            <w:pPr>
              <w:spacing w:line="240" w:lineRule="auto"/>
              <w:rPr>
                <w:rFonts w:ascii="Times New Roman" w:hAnsi="Times New Roman"/>
                <w:color w:val="000000"/>
              </w:rPr>
            </w:pPr>
          </w:p>
          <w:p w:rsidR="00AF2E52" w:rsidRPr="008B4FE6" w:rsidRDefault="00475F26" w:rsidP="00254DED">
            <w:pPr>
              <w:spacing w:line="240" w:lineRule="auto"/>
              <w:rPr>
                <w:rFonts w:ascii="Times New Roman" w:hAnsi="Times New Roman"/>
                <w:color w:val="000000"/>
                <w:spacing w:val="-2"/>
              </w:rPr>
            </w:pPr>
            <w:sdt>
              <w:sdtPr>
                <w:rPr>
                  <w:rFonts w:ascii="Times New Roman" w:hAnsi="Times New Roman"/>
                  <w:color w:val="000000"/>
                  <w:spacing w:val="-2"/>
                </w:rPr>
                <w:id w:val="-1170861332"/>
              </w:sdtPr>
              <w:sdtContent>
                <w:r w:rsidR="00AF2E52">
                  <w:rPr>
                    <w:rFonts w:ascii="MS Gothic" w:eastAsia="MS Gothic" w:hAnsi="MS Gothic" w:hint="eastAsia"/>
                    <w:color w:val="000000"/>
                    <w:spacing w:val="-2"/>
                  </w:rPr>
                  <w:t>☐</w:t>
                </w:r>
              </w:sdtContent>
            </w:sdt>
            <w:r w:rsidR="00AF2E52">
              <w:rPr>
                <w:rFonts w:ascii="Times New Roman" w:hAnsi="Times New Roman"/>
                <w:color w:val="000000"/>
                <w:spacing w:val="-2"/>
              </w:rPr>
              <w:t xml:space="preserve"> </w:t>
            </w:r>
            <w:r w:rsidR="00AF2E52" w:rsidRPr="008B4FE6">
              <w:rPr>
                <w:rFonts w:ascii="Times New Roman" w:hAnsi="Times New Roman"/>
                <w:color w:val="000000"/>
                <w:spacing w:val="-2"/>
              </w:rPr>
              <w:t>demografia</w:t>
            </w:r>
          </w:p>
          <w:p w:rsidR="00AF2E52" w:rsidRPr="008B4FE6" w:rsidRDefault="00475F26" w:rsidP="006A701A">
            <w:pPr>
              <w:spacing w:line="240" w:lineRule="auto"/>
              <w:rPr>
                <w:rFonts w:ascii="Times New Roman" w:hAnsi="Times New Roman"/>
                <w:color w:val="000000"/>
              </w:rPr>
            </w:pPr>
            <w:sdt>
              <w:sdtPr>
                <w:rPr>
                  <w:rFonts w:ascii="Times New Roman" w:hAnsi="Times New Roman"/>
                  <w:color w:val="000000"/>
                </w:rPr>
                <w:id w:val="1090503991"/>
              </w:sdtPr>
              <w:sdtContent>
                <w:r w:rsidR="00AF2E52">
                  <w:rPr>
                    <w:rFonts w:ascii="MS Gothic" w:eastAsia="MS Gothic" w:hAnsi="MS Gothic" w:hint="eastAsia"/>
                    <w:color w:val="000000"/>
                  </w:rPr>
                  <w:t>☐</w:t>
                </w:r>
              </w:sdtContent>
            </w:sdt>
            <w:r w:rsidR="00AF2E52">
              <w:rPr>
                <w:rFonts w:ascii="Times New Roman" w:hAnsi="Times New Roman"/>
                <w:color w:val="000000"/>
              </w:rPr>
              <w:t xml:space="preserve"> mienie państwowe</w:t>
            </w:r>
          </w:p>
        </w:tc>
        <w:tc>
          <w:tcPr>
            <w:tcW w:w="3708" w:type="dxa"/>
            <w:gridSpan w:val="9"/>
            <w:shd w:val="clear" w:color="auto" w:fill="FFFFFF"/>
          </w:tcPr>
          <w:p w:rsidR="00AF2E52" w:rsidRPr="008B4FE6" w:rsidRDefault="00AF2E52" w:rsidP="006A701A">
            <w:pPr>
              <w:spacing w:line="240" w:lineRule="auto"/>
              <w:rPr>
                <w:rFonts w:ascii="Times New Roman" w:hAnsi="Times New Roman"/>
                <w:color w:val="000000"/>
              </w:rPr>
            </w:pPr>
          </w:p>
          <w:p w:rsidR="00AF2E52" w:rsidRDefault="00475F26" w:rsidP="006A701A">
            <w:pPr>
              <w:spacing w:line="240" w:lineRule="auto"/>
              <w:rPr>
                <w:rFonts w:ascii="Times New Roman" w:hAnsi="Times New Roman"/>
                <w:color w:val="000000"/>
                <w:spacing w:val="-2"/>
              </w:rPr>
            </w:pPr>
            <w:sdt>
              <w:sdtPr>
                <w:rPr>
                  <w:rFonts w:ascii="Times New Roman" w:hAnsi="Times New Roman"/>
                  <w:color w:val="000000"/>
                  <w:spacing w:val="-2"/>
                </w:rPr>
                <w:id w:val="1485042436"/>
              </w:sdtPr>
              <w:sdtContent>
                <w:r w:rsidR="00AF2E52">
                  <w:rPr>
                    <w:rFonts w:ascii="MS Gothic" w:eastAsia="MS Gothic" w:hAnsi="MS Gothic" w:hint="eastAsia"/>
                    <w:color w:val="000000"/>
                    <w:spacing w:val="-2"/>
                  </w:rPr>
                  <w:t>☐</w:t>
                </w:r>
              </w:sdtContent>
            </w:sdt>
            <w:r w:rsidR="00AF2E52">
              <w:rPr>
                <w:rFonts w:ascii="Times New Roman" w:hAnsi="Times New Roman"/>
                <w:color w:val="000000"/>
                <w:spacing w:val="-2"/>
              </w:rPr>
              <w:t xml:space="preserve"> </w:t>
            </w:r>
            <w:r w:rsidR="00AF2E52" w:rsidRPr="008B4FE6">
              <w:rPr>
                <w:rFonts w:ascii="Times New Roman" w:hAnsi="Times New Roman"/>
                <w:color w:val="000000"/>
                <w:spacing w:val="-2"/>
              </w:rPr>
              <w:t>informatyzacja</w:t>
            </w:r>
          </w:p>
          <w:p w:rsidR="00AF2E52" w:rsidRPr="008B4FE6" w:rsidRDefault="00475F26" w:rsidP="006A701A">
            <w:pPr>
              <w:spacing w:line="240" w:lineRule="auto"/>
              <w:rPr>
                <w:rFonts w:ascii="Times New Roman" w:hAnsi="Times New Roman"/>
                <w:color w:val="000000"/>
              </w:rPr>
            </w:pPr>
            <w:sdt>
              <w:sdtPr>
                <w:rPr>
                  <w:rFonts w:ascii="Times New Roman" w:hAnsi="Times New Roman"/>
                  <w:color w:val="000000"/>
                  <w:spacing w:val="-2"/>
                </w:rPr>
                <w:id w:val="-170105530"/>
              </w:sdtPr>
              <w:sdtContent>
                <w:r w:rsidR="00AF2E52">
                  <w:rPr>
                    <w:rFonts w:ascii="MS Gothic" w:eastAsia="MS Gothic" w:hAnsi="MS Gothic" w:hint="eastAsia"/>
                    <w:color w:val="000000"/>
                    <w:spacing w:val="-2"/>
                  </w:rPr>
                  <w:t>☐</w:t>
                </w:r>
              </w:sdtContent>
            </w:sdt>
            <w:r w:rsidR="00AF2E52">
              <w:rPr>
                <w:rFonts w:ascii="Times New Roman" w:hAnsi="Times New Roman"/>
                <w:color w:val="000000"/>
                <w:spacing w:val="-2"/>
              </w:rPr>
              <w:t xml:space="preserve"> zdrowie</w:t>
            </w:r>
          </w:p>
        </w:tc>
      </w:tr>
      <w:tr w:rsidR="00AF2E52" w:rsidRPr="008B4FE6" w:rsidTr="00E87163">
        <w:trPr>
          <w:gridAfter w:val="1"/>
          <w:wAfter w:w="10" w:type="dxa"/>
          <w:trHeight w:val="712"/>
        </w:trPr>
        <w:tc>
          <w:tcPr>
            <w:tcW w:w="2233" w:type="dxa"/>
            <w:gridSpan w:val="3"/>
            <w:shd w:val="clear" w:color="auto" w:fill="FFFFFF"/>
            <w:vAlign w:val="center"/>
          </w:tcPr>
          <w:p w:rsidR="00AF2E52" w:rsidRPr="008B4FE6" w:rsidRDefault="00AF2E52" w:rsidP="00254DED">
            <w:pPr>
              <w:spacing w:line="240" w:lineRule="auto"/>
              <w:rPr>
                <w:rFonts w:ascii="Times New Roman" w:hAnsi="Times New Roman"/>
                <w:color w:val="000000"/>
              </w:rPr>
            </w:pPr>
            <w:r w:rsidRPr="008B4FE6">
              <w:rPr>
                <w:rFonts w:ascii="Times New Roman" w:hAnsi="Times New Roman"/>
                <w:color w:val="000000"/>
              </w:rPr>
              <w:t>Omówienie wpływu</w:t>
            </w:r>
          </w:p>
        </w:tc>
        <w:tc>
          <w:tcPr>
            <w:tcW w:w="8704" w:type="dxa"/>
            <w:gridSpan w:val="25"/>
            <w:shd w:val="clear" w:color="auto" w:fill="FFFFFF"/>
            <w:vAlign w:val="center"/>
          </w:tcPr>
          <w:p w:rsidR="00AF2E52" w:rsidRDefault="00AF2E52" w:rsidP="0003312F">
            <w:pPr>
              <w:spacing w:line="240" w:lineRule="auto"/>
              <w:jc w:val="both"/>
              <w:rPr>
                <w:rFonts w:ascii="Times New Roman" w:hAnsi="Times New Roman"/>
                <w:color w:val="000000"/>
                <w:spacing w:val="-2"/>
              </w:rPr>
            </w:pPr>
          </w:p>
          <w:p w:rsidR="00AF2E52" w:rsidRDefault="00AF2E52" w:rsidP="0003312F">
            <w:pPr>
              <w:spacing w:line="240" w:lineRule="auto"/>
              <w:jc w:val="both"/>
              <w:rPr>
                <w:rFonts w:ascii="Times New Roman" w:hAnsi="Times New Roman"/>
                <w:color w:val="000000"/>
                <w:spacing w:val="-2"/>
              </w:rPr>
            </w:pPr>
            <w:r w:rsidRPr="0077544D">
              <w:rPr>
                <w:rFonts w:ascii="Times New Roman" w:hAnsi="Times New Roman"/>
                <w:color w:val="000000"/>
                <w:spacing w:val="-2"/>
              </w:rPr>
              <w:t>Proj</w:t>
            </w:r>
            <w:r>
              <w:rPr>
                <w:rFonts w:ascii="Times New Roman" w:hAnsi="Times New Roman"/>
                <w:color w:val="000000"/>
                <w:spacing w:val="-2"/>
              </w:rPr>
              <w:t xml:space="preserve">ektowana ustawa </w:t>
            </w:r>
            <w:r w:rsidRPr="0077544D">
              <w:rPr>
                <w:rFonts w:ascii="Times New Roman" w:hAnsi="Times New Roman"/>
                <w:color w:val="000000"/>
                <w:spacing w:val="-2"/>
              </w:rPr>
              <w:t>nie będzie miała wpływu na wymienione obszary.</w:t>
            </w:r>
          </w:p>
          <w:p w:rsidR="00AF2E52" w:rsidRPr="008B4FE6" w:rsidRDefault="00AF2E52" w:rsidP="00B37C80">
            <w:pPr>
              <w:spacing w:line="240" w:lineRule="auto"/>
              <w:jc w:val="both"/>
              <w:rPr>
                <w:rFonts w:ascii="Times New Roman" w:hAnsi="Times New Roman"/>
                <w:color w:val="000000"/>
                <w:spacing w:val="-2"/>
              </w:rPr>
            </w:pPr>
          </w:p>
        </w:tc>
      </w:tr>
      <w:tr w:rsidR="00AF2E52" w:rsidRPr="008B4FE6" w:rsidTr="00676C8D">
        <w:trPr>
          <w:gridAfter w:val="1"/>
          <w:wAfter w:w="10" w:type="dxa"/>
          <w:trHeight w:val="142"/>
        </w:trPr>
        <w:tc>
          <w:tcPr>
            <w:tcW w:w="10937" w:type="dxa"/>
            <w:gridSpan w:val="28"/>
            <w:shd w:val="clear" w:color="auto" w:fill="99CCFF"/>
          </w:tcPr>
          <w:p w:rsidR="00AF2E52" w:rsidRPr="00627221" w:rsidRDefault="00AF2E52" w:rsidP="00A767D2">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AF2E52" w:rsidRPr="008B4FE6" w:rsidTr="00676C8D">
        <w:trPr>
          <w:gridAfter w:val="1"/>
          <w:wAfter w:w="10" w:type="dxa"/>
          <w:trHeight w:val="142"/>
        </w:trPr>
        <w:tc>
          <w:tcPr>
            <w:tcW w:w="10937" w:type="dxa"/>
            <w:gridSpan w:val="28"/>
            <w:shd w:val="clear" w:color="auto" w:fill="FFFFFF"/>
          </w:tcPr>
          <w:p w:rsidR="00AF2E52" w:rsidRPr="00B37C80" w:rsidRDefault="00AF2E52" w:rsidP="00453B40">
            <w:pPr>
              <w:spacing w:line="240" w:lineRule="auto"/>
              <w:jc w:val="both"/>
              <w:rPr>
                <w:rFonts w:ascii="Times New Roman" w:hAnsi="Times New Roman"/>
                <w:spacing w:val="-2"/>
              </w:rPr>
            </w:pPr>
            <w:r>
              <w:rPr>
                <w:rFonts w:ascii="Times New Roman" w:hAnsi="Times New Roman"/>
                <w:spacing w:val="-2"/>
              </w:rPr>
              <w:t>30 sierpnia 201</w:t>
            </w:r>
            <w:r w:rsidR="00382811">
              <w:rPr>
                <w:rFonts w:ascii="Times New Roman" w:hAnsi="Times New Roman"/>
                <w:spacing w:val="-2"/>
              </w:rPr>
              <w:t>8</w:t>
            </w:r>
            <w:r>
              <w:rPr>
                <w:rFonts w:ascii="Times New Roman" w:hAnsi="Times New Roman"/>
                <w:spacing w:val="-2"/>
              </w:rPr>
              <w:t xml:space="preserve"> r. </w:t>
            </w:r>
          </w:p>
        </w:tc>
      </w:tr>
      <w:tr w:rsidR="00AF2E52" w:rsidRPr="008B4FE6" w:rsidTr="00676C8D">
        <w:trPr>
          <w:gridAfter w:val="1"/>
          <w:wAfter w:w="10" w:type="dxa"/>
          <w:trHeight w:val="142"/>
        </w:trPr>
        <w:tc>
          <w:tcPr>
            <w:tcW w:w="10937" w:type="dxa"/>
            <w:gridSpan w:val="28"/>
            <w:shd w:val="clear" w:color="auto" w:fill="99CCFF"/>
          </w:tcPr>
          <w:p w:rsidR="00AF2E52" w:rsidRPr="008B4FE6" w:rsidRDefault="00AF2E52" w:rsidP="001D6A3C">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AF2E52" w:rsidRPr="008B4FE6" w:rsidTr="00676C8D">
        <w:trPr>
          <w:gridAfter w:val="1"/>
          <w:wAfter w:w="10" w:type="dxa"/>
          <w:trHeight w:val="142"/>
        </w:trPr>
        <w:tc>
          <w:tcPr>
            <w:tcW w:w="10937" w:type="dxa"/>
            <w:gridSpan w:val="28"/>
            <w:shd w:val="clear" w:color="auto" w:fill="FFFFFF"/>
          </w:tcPr>
          <w:p w:rsidR="00AF2E52" w:rsidRPr="00B37C80" w:rsidRDefault="00AF2E52" w:rsidP="009845CE">
            <w:pPr>
              <w:spacing w:line="240" w:lineRule="auto"/>
              <w:jc w:val="both"/>
              <w:rPr>
                <w:rFonts w:ascii="Times New Roman" w:hAnsi="Times New Roman"/>
                <w:color w:val="000000"/>
                <w:spacing w:val="-2"/>
              </w:rPr>
            </w:pPr>
            <w:r>
              <w:rPr>
                <w:rFonts w:ascii="Times New Roman" w:hAnsi="Times New Roman"/>
                <w:color w:val="000000"/>
                <w:spacing w:val="-2"/>
              </w:rPr>
              <w:t xml:space="preserve">Ocena projektu będzie możliwa po roku obowiązywania ustawy. Miernikiem będzie wysokość wyegzekwowanej kwoty kosztów egzekucyjnych przez poszczególne administracyjne organy egzekucyjne w stosunku do kwoty kosztów egzekucyjnych wyegzekwowanych przez te organy w poprzednim analogicznym okresie.  </w:t>
            </w:r>
          </w:p>
        </w:tc>
      </w:tr>
      <w:tr w:rsidR="00AF2E52" w:rsidRPr="008B4FE6" w:rsidTr="00676C8D">
        <w:trPr>
          <w:gridAfter w:val="1"/>
          <w:wAfter w:w="10" w:type="dxa"/>
          <w:trHeight w:val="142"/>
        </w:trPr>
        <w:tc>
          <w:tcPr>
            <w:tcW w:w="10937" w:type="dxa"/>
            <w:gridSpan w:val="28"/>
            <w:shd w:val="clear" w:color="auto" w:fill="99CCFF"/>
          </w:tcPr>
          <w:p w:rsidR="00AF2E52" w:rsidRPr="008B4FE6" w:rsidRDefault="00AF2E52" w:rsidP="00301959">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AF2E52" w:rsidRPr="008B4FE6" w:rsidTr="00676C8D">
        <w:trPr>
          <w:gridAfter w:val="1"/>
          <w:wAfter w:w="10" w:type="dxa"/>
          <w:trHeight w:val="142"/>
        </w:trPr>
        <w:tc>
          <w:tcPr>
            <w:tcW w:w="10937" w:type="dxa"/>
            <w:gridSpan w:val="28"/>
            <w:shd w:val="clear" w:color="auto" w:fill="FFFFFF"/>
          </w:tcPr>
          <w:p w:rsidR="00AF2E52" w:rsidRPr="00B37C80" w:rsidRDefault="00C45DDD" w:rsidP="00B37C80">
            <w:pPr>
              <w:spacing w:line="240" w:lineRule="auto"/>
              <w:jc w:val="both"/>
              <w:rPr>
                <w:rFonts w:ascii="Times New Roman" w:hAnsi="Times New Roman"/>
                <w:color w:val="000000"/>
                <w:spacing w:val="-2"/>
              </w:rPr>
            </w:pPr>
            <w:r>
              <w:rPr>
                <w:rFonts w:ascii="Times New Roman" w:hAnsi="Times New Roman"/>
                <w:color w:val="000000"/>
                <w:spacing w:val="-2"/>
              </w:rPr>
              <w:t>Kalkulacja</w:t>
            </w:r>
          </w:p>
        </w:tc>
      </w:tr>
    </w:tbl>
    <w:p w:rsidR="006176ED" w:rsidRPr="00522D94" w:rsidRDefault="006176ED" w:rsidP="00125BC7">
      <w:pPr>
        <w:pStyle w:val="Nagwek1"/>
        <w:jc w:val="center"/>
        <w:rPr>
          <w:rFonts w:ascii="Times New Roman" w:hAnsi="Times New Roman"/>
          <w:sz w:val="20"/>
          <w:szCs w:val="20"/>
        </w:rPr>
      </w:pP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CF4" w:rsidRDefault="00B66CF4" w:rsidP="00044739">
      <w:pPr>
        <w:spacing w:line="240" w:lineRule="auto"/>
      </w:pPr>
      <w:r>
        <w:separator/>
      </w:r>
    </w:p>
  </w:endnote>
  <w:endnote w:type="continuationSeparator" w:id="1">
    <w:p w:rsidR="00B66CF4" w:rsidRDefault="00B66CF4" w:rsidP="000447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CF4" w:rsidRDefault="00B66CF4" w:rsidP="00044739">
      <w:pPr>
        <w:spacing w:line="240" w:lineRule="auto"/>
      </w:pPr>
      <w:r>
        <w:separator/>
      </w:r>
    </w:p>
  </w:footnote>
  <w:footnote w:type="continuationSeparator" w:id="1">
    <w:p w:rsidR="00B66CF4" w:rsidRDefault="00B66CF4" w:rsidP="0004473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7">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1">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3">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4">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5">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7">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19">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8"/>
  </w:num>
  <w:num w:numId="4">
    <w:abstractNumId w:val="17"/>
  </w:num>
  <w:num w:numId="5">
    <w:abstractNumId w:val="1"/>
  </w:num>
  <w:num w:numId="6">
    <w:abstractNumId w:val="7"/>
  </w:num>
  <w:num w:numId="7">
    <w:abstractNumId w:val="11"/>
  </w:num>
  <w:num w:numId="8">
    <w:abstractNumId w:val="4"/>
  </w:num>
  <w:num w:numId="9">
    <w:abstractNumId w:val="13"/>
  </w:num>
  <w:num w:numId="10">
    <w:abstractNumId w:val="10"/>
  </w:num>
  <w:num w:numId="11">
    <w:abstractNumId w:val="12"/>
  </w:num>
  <w:num w:numId="12">
    <w:abstractNumId w:val="2"/>
  </w:num>
  <w:num w:numId="13">
    <w:abstractNumId w:val="9"/>
  </w:num>
  <w:num w:numId="14">
    <w:abstractNumId w:val="18"/>
  </w:num>
  <w:num w:numId="15">
    <w:abstractNumId w:val="14"/>
  </w:num>
  <w:num w:numId="16">
    <w:abstractNumId w:val="16"/>
  </w:num>
  <w:num w:numId="17">
    <w:abstractNumId w:val="5"/>
  </w:num>
  <w:num w:numId="18">
    <w:abstractNumId w:val="19"/>
  </w:num>
  <w:num w:numId="19">
    <w:abstractNumId w:val="20"/>
  </w:num>
  <w:num w:numId="20">
    <w:abstractNumId w:val="1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7646CB"/>
    <w:rsid w:val="000008E5"/>
    <w:rsid w:val="000015EE"/>
    <w:rsid w:val="000022D5"/>
    <w:rsid w:val="00004C6A"/>
    <w:rsid w:val="00012D11"/>
    <w:rsid w:val="00013EB5"/>
    <w:rsid w:val="00023836"/>
    <w:rsid w:val="0002479D"/>
    <w:rsid w:val="0003312F"/>
    <w:rsid w:val="000356A9"/>
    <w:rsid w:val="00043D78"/>
    <w:rsid w:val="00044138"/>
    <w:rsid w:val="00044739"/>
    <w:rsid w:val="00051637"/>
    <w:rsid w:val="00056681"/>
    <w:rsid w:val="00063018"/>
    <w:rsid w:val="000648A7"/>
    <w:rsid w:val="0006618B"/>
    <w:rsid w:val="000670C0"/>
    <w:rsid w:val="000707F6"/>
    <w:rsid w:val="00071B99"/>
    <w:rsid w:val="000756E5"/>
    <w:rsid w:val="0007704E"/>
    <w:rsid w:val="00077F2F"/>
    <w:rsid w:val="00080EC8"/>
    <w:rsid w:val="0008797A"/>
    <w:rsid w:val="00091386"/>
    <w:rsid w:val="000944AC"/>
    <w:rsid w:val="00094CB9"/>
    <w:rsid w:val="000956B2"/>
    <w:rsid w:val="000969E7"/>
    <w:rsid w:val="000A23DE"/>
    <w:rsid w:val="000A4020"/>
    <w:rsid w:val="000B4B8A"/>
    <w:rsid w:val="000B54FB"/>
    <w:rsid w:val="000B7E30"/>
    <w:rsid w:val="000C29B0"/>
    <w:rsid w:val="000C3BC9"/>
    <w:rsid w:val="000C76FC"/>
    <w:rsid w:val="000D0540"/>
    <w:rsid w:val="000D38FC"/>
    <w:rsid w:val="000D4D90"/>
    <w:rsid w:val="000E02D1"/>
    <w:rsid w:val="000E2D10"/>
    <w:rsid w:val="000F3204"/>
    <w:rsid w:val="0010548B"/>
    <w:rsid w:val="001072D1"/>
    <w:rsid w:val="00110B66"/>
    <w:rsid w:val="001135A6"/>
    <w:rsid w:val="00117017"/>
    <w:rsid w:val="001213CC"/>
    <w:rsid w:val="00121D70"/>
    <w:rsid w:val="00125BC7"/>
    <w:rsid w:val="00130E8E"/>
    <w:rsid w:val="0013216E"/>
    <w:rsid w:val="001363C0"/>
    <w:rsid w:val="001401B5"/>
    <w:rsid w:val="001422B9"/>
    <w:rsid w:val="0014665F"/>
    <w:rsid w:val="001518CF"/>
    <w:rsid w:val="00153171"/>
    <w:rsid w:val="00153464"/>
    <w:rsid w:val="001541B3"/>
    <w:rsid w:val="0015588A"/>
    <w:rsid w:val="00155B15"/>
    <w:rsid w:val="001625BE"/>
    <w:rsid w:val="001643A4"/>
    <w:rsid w:val="001651ED"/>
    <w:rsid w:val="00166E7F"/>
    <w:rsid w:val="001727BB"/>
    <w:rsid w:val="00173CDF"/>
    <w:rsid w:val="00180D25"/>
    <w:rsid w:val="00181B31"/>
    <w:rsid w:val="0018318D"/>
    <w:rsid w:val="0018572C"/>
    <w:rsid w:val="00187E79"/>
    <w:rsid w:val="00187F0D"/>
    <w:rsid w:val="00192CC5"/>
    <w:rsid w:val="0019487E"/>
    <w:rsid w:val="001956A7"/>
    <w:rsid w:val="00197297"/>
    <w:rsid w:val="001A118A"/>
    <w:rsid w:val="001A27F4"/>
    <w:rsid w:val="001A2D95"/>
    <w:rsid w:val="001B3460"/>
    <w:rsid w:val="001B4CA1"/>
    <w:rsid w:val="001B75D8"/>
    <w:rsid w:val="001C1060"/>
    <w:rsid w:val="001C302A"/>
    <w:rsid w:val="001C3C63"/>
    <w:rsid w:val="001D4732"/>
    <w:rsid w:val="001D6A3C"/>
    <w:rsid w:val="001D6D51"/>
    <w:rsid w:val="001E6147"/>
    <w:rsid w:val="001E6670"/>
    <w:rsid w:val="001F653A"/>
    <w:rsid w:val="001F6979"/>
    <w:rsid w:val="00202BC6"/>
    <w:rsid w:val="00205141"/>
    <w:rsid w:val="0020516B"/>
    <w:rsid w:val="00213559"/>
    <w:rsid w:val="00213EFD"/>
    <w:rsid w:val="002172F1"/>
    <w:rsid w:val="00223C7B"/>
    <w:rsid w:val="00224AB1"/>
    <w:rsid w:val="0022687A"/>
    <w:rsid w:val="00230728"/>
    <w:rsid w:val="00234040"/>
    <w:rsid w:val="00235CD2"/>
    <w:rsid w:val="00245EFD"/>
    <w:rsid w:val="0024696F"/>
    <w:rsid w:val="002517FE"/>
    <w:rsid w:val="00254DED"/>
    <w:rsid w:val="00255619"/>
    <w:rsid w:val="00255B34"/>
    <w:rsid w:val="00255DAD"/>
    <w:rsid w:val="00256108"/>
    <w:rsid w:val="00260F33"/>
    <w:rsid w:val="002613BD"/>
    <w:rsid w:val="002624F1"/>
    <w:rsid w:val="00270C81"/>
    <w:rsid w:val="00271558"/>
    <w:rsid w:val="00271A8C"/>
    <w:rsid w:val="00272B11"/>
    <w:rsid w:val="00274862"/>
    <w:rsid w:val="00274DE9"/>
    <w:rsid w:val="00276F0B"/>
    <w:rsid w:val="00282D72"/>
    <w:rsid w:val="00283402"/>
    <w:rsid w:val="00290FD6"/>
    <w:rsid w:val="00294259"/>
    <w:rsid w:val="00295BF7"/>
    <w:rsid w:val="002A2C81"/>
    <w:rsid w:val="002B3D1A"/>
    <w:rsid w:val="002B6A98"/>
    <w:rsid w:val="002C27D0"/>
    <w:rsid w:val="002C2C9B"/>
    <w:rsid w:val="002C7466"/>
    <w:rsid w:val="002D17D6"/>
    <w:rsid w:val="002D18D7"/>
    <w:rsid w:val="002D21CE"/>
    <w:rsid w:val="002E3AC6"/>
    <w:rsid w:val="002E3DA3"/>
    <w:rsid w:val="002E450F"/>
    <w:rsid w:val="002E4A16"/>
    <w:rsid w:val="002E6B38"/>
    <w:rsid w:val="002E6D63"/>
    <w:rsid w:val="002E6E2B"/>
    <w:rsid w:val="002F500B"/>
    <w:rsid w:val="00300991"/>
    <w:rsid w:val="003009C6"/>
    <w:rsid w:val="00301959"/>
    <w:rsid w:val="00304A63"/>
    <w:rsid w:val="00305B8A"/>
    <w:rsid w:val="00305C35"/>
    <w:rsid w:val="003168C0"/>
    <w:rsid w:val="00317C42"/>
    <w:rsid w:val="00324EA9"/>
    <w:rsid w:val="003263A1"/>
    <w:rsid w:val="00331BF9"/>
    <w:rsid w:val="0033495E"/>
    <w:rsid w:val="00334A79"/>
    <w:rsid w:val="00334D8D"/>
    <w:rsid w:val="00337345"/>
    <w:rsid w:val="00337DD2"/>
    <w:rsid w:val="003404D1"/>
    <w:rsid w:val="003443FF"/>
    <w:rsid w:val="00355808"/>
    <w:rsid w:val="00357BAA"/>
    <w:rsid w:val="00362C7E"/>
    <w:rsid w:val="00363309"/>
    <w:rsid w:val="00363601"/>
    <w:rsid w:val="00366B54"/>
    <w:rsid w:val="00371857"/>
    <w:rsid w:val="00376AC9"/>
    <w:rsid w:val="00376DB3"/>
    <w:rsid w:val="00382811"/>
    <w:rsid w:val="00387544"/>
    <w:rsid w:val="00390163"/>
    <w:rsid w:val="00393032"/>
    <w:rsid w:val="00394B69"/>
    <w:rsid w:val="00397078"/>
    <w:rsid w:val="003A6953"/>
    <w:rsid w:val="003B6083"/>
    <w:rsid w:val="003B62D3"/>
    <w:rsid w:val="003C3838"/>
    <w:rsid w:val="003C5847"/>
    <w:rsid w:val="003D0681"/>
    <w:rsid w:val="003D12F6"/>
    <w:rsid w:val="003D1426"/>
    <w:rsid w:val="003E06AA"/>
    <w:rsid w:val="003E2F4E"/>
    <w:rsid w:val="003E720A"/>
    <w:rsid w:val="003F165D"/>
    <w:rsid w:val="00403E6E"/>
    <w:rsid w:val="004129B4"/>
    <w:rsid w:val="004149C3"/>
    <w:rsid w:val="00417ECC"/>
    <w:rsid w:val="00417EF0"/>
    <w:rsid w:val="00422181"/>
    <w:rsid w:val="004230BB"/>
    <w:rsid w:val="004244A8"/>
    <w:rsid w:val="00425F72"/>
    <w:rsid w:val="00427736"/>
    <w:rsid w:val="00441787"/>
    <w:rsid w:val="00444F2D"/>
    <w:rsid w:val="00445308"/>
    <w:rsid w:val="00452034"/>
    <w:rsid w:val="00453B40"/>
    <w:rsid w:val="00455FA6"/>
    <w:rsid w:val="00456B6D"/>
    <w:rsid w:val="00457C5E"/>
    <w:rsid w:val="00466C70"/>
    <w:rsid w:val="004702C9"/>
    <w:rsid w:val="00472E45"/>
    <w:rsid w:val="00473FEA"/>
    <w:rsid w:val="0047579D"/>
    <w:rsid w:val="00475F26"/>
    <w:rsid w:val="00483262"/>
    <w:rsid w:val="00484107"/>
    <w:rsid w:val="00485CC5"/>
    <w:rsid w:val="00493313"/>
    <w:rsid w:val="0049343F"/>
    <w:rsid w:val="00495BDE"/>
    <w:rsid w:val="004964FC"/>
    <w:rsid w:val="004978E9"/>
    <w:rsid w:val="004A145E"/>
    <w:rsid w:val="004A1F15"/>
    <w:rsid w:val="004A2A81"/>
    <w:rsid w:val="004A7BD7"/>
    <w:rsid w:val="004B1691"/>
    <w:rsid w:val="004B2594"/>
    <w:rsid w:val="004B5024"/>
    <w:rsid w:val="004C00D9"/>
    <w:rsid w:val="004C15C2"/>
    <w:rsid w:val="004C28EE"/>
    <w:rsid w:val="004C36D8"/>
    <w:rsid w:val="004D0A11"/>
    <w:rsid w:val="004D1248"/>
    <w:rsid w:val="004D1A00"/>
    <w:rsid w:val="004D1E3C"/>
    <w:rsid w:val="004D4169"/>
    <w:rsid w:val="004D6E14"/>
    <w:rsid w:val="004F0575"/>
    <w:rsid w:val="004F4E17"/>
    <w:rsid w:val="0050082F"/>
    <w:rsid w:val="00500C56"/>
    <w:rsid w:val="00501713"/>
    <w:rsid w:val="00503AF7"/>
    <w:rsid w:val="0050579F"/>
    <w:rsid w:val="00506568"/>
    <w:rsid w:val="0051551B"/>
    <w:rsid w:val="00520C57"/>
    <w:rsid w:val="00522D94"/>
    <w:rsid w:val="00525448"/>
    <w:rsid w:val="005261D1"/>
    <w:rsid w:val="00533D89"/>
    <w:rsid w:val="0053474F"/>
    <w:rsid w:val="00536564"/>
    <w:rsid w:val="0054338A"/>
    <w:rsid w:val="00544597"/>
    <w:rsid w:val="00544FFE"/>
    <w:rsid w:val="00546B93"/>
    <w:rsid w:val="005473F5"/>
    <w:rsid w:val="005477E7"/>
    <w:rsid w:val="00547E16"/>
    <w:rsid w:val="00552794"/>
    <w:rsid w:val="005613E6"/>
    <w:rsid w:val="00562F87"/>
    <w:rsid w:val="00563199"/>
    <w:rsid w:val="00564669"/>
    <w:rsid w:val="00564874"/>
    <w:rsid w:val="00564987"/>
    <w:rsid w:val="00567963"/>
    <w:rsid w:val="0057009A"/>
    <w:rsid w:val="00571260"/>
    <w:rsid w:val="0057189C"/>
    <w:rsid w:val="00573FC1"/>
    <w:rsid w:val="005741EE"/>
    <w:rsid w:val="0057668E"/>
    <w:rsid w:val="00584E2F"/>
    <w:rsid w:val="00595E83"/>
    <w:rsid w:val="00596530"/>
    <w:rsid w:val="005967F3"/>
    <w:rsid w:val="005A06DF"/>
    <w:rsid w:val="005A2004"/>
    <w:rsid w:val="005A2690"/>
    <w:rsid w:val="005A5527"/>
    <w:rsid w:val="005A5AE6"/>
    <w:rsid w:val="005A61AB"/>
    <w:rsid w:val="005A6ABF"/>
    <w:rsid w:val="005A6D9F"/>
    <w:rsid w:val="005B100F"/>
    <w:rsid w:val="005B1206"/>
    <w:rsid w:val="005B37E8"/>
    <w:rsid w:val="005B4D52"/>
    <w:rsid w:val="005B62B0"/>
    <w:rsid w:val="005C0056"/>
    <w:rsid w:val="005D61D6"/>
    <w:rsid w:val="005E0D13"/>
    <w:rsid w:val="005E5047"/>
    <w:rsid w:val="005E7205"/>
    <w:rsid w:val="005E7371"/>
    <w:rsid w:val="005F116C"/>
    <w:rsid w:val="005F1D87"/>
    <w:rsid w:val="005F2131"/>
    <w:rsid w:val="005F7CEF"/>
    <w:rsid w:val="00605EF6"/>
    <w:rsid w:val="00606455"/>
    <w:rsid w:val="00614929"/>
    <w:rsid w:val="00616453"/>
    <w:rsid w:val="00616511"/>
    <w:rsid w:val="006176ED"/>
    <w:rsid w:val="006202F3"/>
    <w:rsid w:val="0062097A"/>
    <w:rsid w:val="00621DA6"/>
    <w:rsid w:val="00623CFE"/>
    <w:rsid w:val="00627221"/>
    <w:rsid w:val="00627EE8"/>
    <w:rsid w:val="006316FA"/>
    <w:rsid w:val="0063275A"/>
    <w:rsid w:val="006370D2"/>
    <w:rsid w:val="0064074F"/>
    <w:rsid w:val="00641F55"/>
    <w:rsid w:val="006432F7"/>
    <w:rsid w:val="00645E4A"/>
    <w:rsid w:val="00646F1A"/>
    <w:rsid w:val="00653688"/>
    <w:rsid w:val="00657818"/>
    <w:rsid w:val="0066091B"/>
    <w:rsid w:val="00662E63"/>
    <w:rsid w:val="006649A3"/>
    <w:rsid w:val="006660E9"/>
    <w:rsid w:val="0066666B"/>
    <w:rsid w:val="0066716F"/>
    <w:rsid w:val="00667249"/>
    <w:rsid w:val="00667558"/>
    <w:rsid w:val="00671523"/>
    <w:rsid w:val="006754EF"/>
    <w:rsid w:val="00676C8D"/>
    <w:rsid w:val="00676F1F"/>
    <w:rsid w:val="00677381"/>
    <w:rsid w:val="00677414"/>
    <w:rsid w:val="006832CF"/>
    <w:rsid w:val="0068601E"/>
    <w:rsid w:val="00690FDB"/>
    <w:rsid w:val="006943B4"/>
    <w:rsid w:val="0069486B"/>
    <w:rsid w:val="006A4904"/>
    <w:rsid w:val="006A548F"/>
    <w:rsid w:val="006A701A"/>
    <w:rsid w:val="006B21FB"/>
    <w:rsid w:val="006B32AA"/>
    <w:rsid w:val="006B64DC"/>
    <w:rsid w:val="006B72E5"/>
    <w:rsid w:val="006B7A91"/>
    <w:rsid w:val="006C2035"/>
    <w:rsid w:val="006D218B"/>
    <w:rsid w:val="006D4704"/>
    <w:rsid w:val="006D6A2D"/>
    <w:rsid w:val="006D7DD8"/>
    <w:rsid w:val="006E1E18"/>
    <w:rsid w:val="006E31CE"/>
    <w:rsid w:val="006E34D3"/>
    <w:rsid w:val="006F1435"/>
    <w:rsid w:val="006F6354"/>
    <w:rsid w:val="006F6D34"/>
    <w:rsid w:val="006F78C4"/>
    <w:rsid w:val="007031A0"/>
    <w:rsid w:val="00705A29"/>
    <w:rsid w:val="00707498"/>
    <w:rsid w:val="00711A65"/>
    <w:rsid w:val="00713AD4"/>
    <w:rsid w:val="00714133"/>
    <w:rsid w:val="00714281"/>
    <w:rsid w:val="00714DA4"/>
    <w:rsid w:val="007158B2"/>
    <w:rsid w:val="00715D52"/>
    <w:rsid w:val="00716081"/>
    <w:rsid w:val="0072031E"/>
    <w:rsid w:val="00722B48"/>
    <w:rsid w:val="00724164"/>
    <w:rsid w:val="00725DE7"/>
    <w:rsid w:val="0072636A"/>
    <w:rsid w:val="00726B44"/>
    <w:rsid w:val="007314CD"/>
    <w:rsid w:val="007318DD"/>
    <w:rsid w:val="00732AFB"/>
    <w:rsid w:val="00733167"/>
    <w:rsid w:val="00740B46"/>
    <w:rsid w:val="00740D2C"/>
    <w:rsid w:val="007415D0"/>
    <w:rsid w:val="0074196B"/>
    <w:rsid w:val="00744BF9"/>
    <w:rsid w:val="00744F70"/>
    <w:rsid w:val="00751A88"/>
    <w:rsid w:val="00752623"/>
    <w:rsid w:val="00753F32"/>
    <w:rsid w:val="00760F1F"/>
    <w:rsid w:val="007615F2"/>
    <w:rsid w:val="0076423E"/>
    <w:rsid w:val="007646CB"/>
    <w:rsid w:val="00764E65"/>
    <w:rsid w:val="0076658F"/>
    <w:rsid w:val="0077040A"/>
    <w:rsid w:val="00772D64"/>
    <w:rsid w:val="007809CE"/>
    <w:rsid w:val="00782748"/>
    <w:rsid w:val="00792609"/>
    <w:rsid w:val="00792887"/>
    <w:rsid w:val="007931D0"/>
    <w:rsid w:val="00793C43"/>
    <w:rsid w:val="007943E2"/>
    <w:rsid w:val="00794F2C"/>
    <w:rsid w:val="00795F96"/>
    <w:rsid w:val="007A08DE"/>
    <w:rsid w:val="007A3BC7"/>
    <w:rsid w:val="007A5AC4"/>
    <w:rsid w:val="007A7392"/>
    <w:rsid w:val="007B0FDD"/>
    <w:rsid w:val="007B4726"/>
    <w:rsid w:val="007B4802"/>
    <w:rsid w:val="007B52BF"/>
    <w:rsid w:val="007B57DF"/>
    <w:rsid w:val="007B6668"/>
    <w:rsid w:val="007B6B33"/>
    <w:rsid w:val="007C2701"/>
    <w:rsid w:val="007D2192"/>
    <w:rsid w:val="007F0021"/>
    <w:rsid w:val="007F01C6"/>
    <w:rsid w:val="007F262E"/>
    <w:rsid w:val="007F2B63"/>
    <w:rsid w:val="007F2F52"/>
    <w:rsid w:val="007F3DDC"/>
    <w:rsid w:val="00801F71"/>
    <w:rsid w:val="00805F28"/>
    <w:rsid w:val="0080749F"/>
    <w:rsid w:val="00807522"/>
    <w:rsid w:val="00811D46"/>
    <w:rsid w:val="008125B0"/>
    <w:rsid w:val="008144CB"/>
    <w:rsid w:val="00821717"/>
    <w:rsid w:val="00824210"/>
    <w:rsid w:val="008263C0"/>
    <w:rsid w:val="00831D15"/>
    <w:rsid w:val="00832FA7"/>
    <w:rsid w:val="00841422"/>
    <w:rsid w:val="00841D3B"/>
    <w:rsid w:val="0084314C"/>
    <w:rsid w:val="00843171"/>
    <w:rsid w:val="0084535F"/>
    <w:rsid w:val="00852E49"/>
    <w:rsid w:val="00856799"/>
    <w:rsid w:val="008575C3"/>
    <w:rsid w:val="0086030B"/>
    <w:rsid w:val="00860407"/>
    <w:rsid w:val="00863671"/>
    <w:rsid w:val="00863D28"/>
    <w:rsid w:val="008648C3"/>
    <w:rsid w:val="00873308"/>
    <w:rsid w:val="008740CA"/>
    <w:rsid w:val="00880F26"/>
    <w:rsid w:val="00890B92"/>
    <w:rsid w:val="008936A8"/>
    <w:rsid w:val="00896C2E"/>
    <w:rsid w:val="008A5095"/>
    <w:rsid w:val="008A608F"/>
    <w:rsid w:val="008B1A9A"/>
    <w:rsid w:val="008B239E"/>
    <w:rsid w:val="008B4FE6"/>
    <w:rsid w:val="008B6C37"/>
    <w:rsid w:val="008C7566"/>
    <w:rsid w:val="008E18F7"/>
    <w:rsid w:val="008E1E10"/>
    <w:rsid w:val="008E291B"/>
    <w:rsid w:val="008E4F2F"/>
    <w:rsid w:val="008E5C3D"/>
    <w:rsid w:val="008E6BD9"/>
    <w:rsid w:val="008E74B0"/>
    <w:rsid w:val="008F26C7"/>
    <w:rsid w:val="009008A8"/>
    <w:rsid w:val="009063B0"/>
    <w:rsid w:val="00907106"/>
    <w:rsid w:val="009107FD"/>
    <w:rsid w:val="0091137C"/>
    <w:rsid w:val="00911567"/>
    <w:rsid w:val="0091400D"/>
    <w:rsid w:val="00917AAE"/>
    <w:rsid w:val="00917E42"/>
    <w:rsid w:val="00920A6D"/>
    <w:rsid w:val="009251A9"/>
    <w:rsid w:val="00926C61"/>
    <w:rsid w:val="00930699"/>
    <w:rsid w:val="00930DFA"/>
    <w:rsid w:val="00931F69"/>
    <w:rsid w:val="00932DC0"/>
    <w:rsid w:val="00934123"/>
    <w:rsid w:val="00947211"/>
    <w:rsid w:val="00955774"/>
    <w:rsid w:val="009560B5"/>
    <w:rsid w:val="009613CD"/>
    <w:rsid w:val="00966217"/>
    <w:rsid w:val="009703D6"/>
    <w:rsid w:val="0097181B"/>
    <w:rsid w:val="00973290"/>
    <w:rsid w:val="00976DC5"/>
    <w:rsid w:val="00977B6B"/>
    <w:rsid w:val="009818C7"/>
    <w:rsid w:val="00982DD4"/>
    <w:rsid w:val="009841E5"/>
    <w:rsid w:val="009845CE"/>
    <w:rsid w:val="0098479F"/>
    <w:rsid w:val="00984A8A"/>
    <w:rsid w:val="009857B6"/>
    <w:rsid w:val="00985A8D"/>
    <w:rsid w:val="00986610"/>
    <w:rsid w:val="009877DC"/>
    <w:rsid w:val="00991F96"/>
    <w:rsid w:val="009928EE"/>
    <w:rsid w:val="00996F0A"/>
    <w:rsid w:val="009A02D5"/>
    <w:rsid w:val="009A0658"/>
    <w:rsid w:val="009A1D86"/>
    <w:rsid w:val="009B049C"/>
    <w:rsid w:val="009B11C8"/>
    <w:rsid w:val="009B2BCF"/>
    <w:rsid w:val="009B2FF8"/>
    <w:rsid w:val="009B5BA3"/>
    <w:rsid w:val="009D0027"/>
    <w:rsid w:val="009D0655"/>
    <w:rsid w:val="009D39B2"/>
    <w:rsid w:val="009E0173"/>
    <w:rsid w:val="009E1E98"/>
    <w:rsid w:val="009E3ABE"/>
    <w:rsid w:val="009E3C4B"/>
    <w:rsid w:val="009F0637"/>
    <w:rsid w:val="009F3E2E"/>
    <w:rsid w:val="009F62A6"/>
    <w:rsid w:val="009F674F"/>
    <w:rsid w:val="009F799E"/>
    <w:rsid w:val="009F7AD9"/>
    <w:rsid w:val="00A02020"/>
    <w:rsid w:val="00A056CB"/>
    <w:rsid w:val="00A05E47"/>
    <w:rsid w:val="00A07A29"/>
    <w:rsid w:val="00A10759"/>
    <w:rsid w:val="00A10FF1"/>
    <w:rsid w:val="00A1506B"/>
    <w:rsid w:val="00A1716E"/>
    <w:rsid w:val="00A17CB2"/>
    <w:rsid w:val="00A20F16"/>
    <w:rsid w:val="00A23191"/>
    <w:rsid w:val="00A235BA"/>
    <w:rsid w:val="00A271C2"/>
    <w:rsid w:val="00A30DE8"/>
    <w:rsid w:val="00A3161B"/>
    <w:rsid w:val="00A319C0"/>
    <w:rsid w:val="00A33560"/>
    <w:rsid w:val="00A356E2"/>
    <w:rsid w:val="00A364E4"/>
    <w:rsid w:val="00A371A5"/>
    <w:rsid w:val="00A407F3"/>
    <w:rsid w:val="00A4584D"/>
    <w:rsid w:val="00A45CA1"/>
    <w:rsid w:val="00A47BDF"/>
    <w:rsid w:val="00A5054E"/>
    <w:rsid w:val="00A50BEC"/>
    <w:rsid w:val="00A51CD7"/>
    <w:rsid w:val="00A52ADB"/>
    <w:rsid w:val="00A533E8"/>
    <w:rsid w:val="00A542D9"/>
    <w:rsid w:val="00A56E64"/>
    <w:rsid w:val="00A6120F"/>
    <w:rsid w:val="00A624C3"/>
    <w:rsid w:val="00A6610C"/>
    <w:rsid w:val="00A6641C"/>
    <w:rsid w:val="00A67590"/>
    <w:rsid w:val="00A67824"/>
    <w:rsid w:val="00A72C29"/>
    <w:rsid w:val="00A767D2"/>
    <w:rsid w:val="00A77616"/>
    <w:rsid w:val="00A805DA"/>
    <w:rsid w:val="00A811B4"/>
    <w:rsid w:val="00A87CDE"/>
    <w:rsid w:val="00A92BAF"/>
    <w:rsid w:val="00A94737"/>
    <w:rsid w:val="00A94BA3"/>
    <w:rsid w:val="00A96CBA"/>
    <w:rsid w:val="00AB1ACD"/>
    <w:rsid w:val="00AB277F"/>
    <w:rsid w:val="00AB299B"/>
    <w:rsid w:val="00AB3AE1"/>
    <w:rsid w:val="00AB4099"/>
    <w:rsid w:val="00AB449A"/>
    <w:rsid w:val="00AD14F9"/>
    <w:rsid w:val="00AD35D6"/>
    <w:rsid w:val="00AD58C5"/>
    <w:rsid w:val="00AD6FF4"/>
    <w:rsid w:val="00AE134E"/>
    <w:rsid w:val="00AE36C4"/>
    <w:rsid w:val="00AE472C"/>
    <w:rsid w:val="00AE5375"/>
    <w:rsid w:val="00AE6CF8"/>
    <w:rsid w:val="00AF2E52"/>
    <w:rsid w:val="00AF4CAC"/>
    <w:rsid w:val="00B03E0D"/>
    <w:rsid w:val="00B054F8"/>
    <w:rsid w:val="00B11A10"/>
    <w:rsid w:val="00B2219A"/>
    <w:rsid w:val="00B32463"/>
    <w:rsid w:val="00B3581B"/>
    <w:rsid w:val="00B36B81"/>
    <w:rsid w:val="00B36FEE"/>
    <w:rsid w:val="00B37C80"/>
    <w:rsid w:val="00B4463F"/>
    <w:rsid w:val="00B5092B"/>
    <w:rsid w:val="00B5194E"/>
    <w:rsid w:val="00B51AF5"/>
    <w:rsid w:val="00B531FC"/>
    <w:rsid w:val="00B55347"/>
    <w:rsid w:val="00B57E5E"/>
    <w:rsid w:val="00B61F37"/>
    <w:rsid w:val="00B65785"/>
    <w:rsid w:val="00B66CF4"/>
    <w:rsid w:val="00B73FE7"/>
    <w:rsid w:val="00B7770F"/>
    <w:rsid w:val="00B77A89"/>
    <w:rsid w:val="00B77B27"/>
    <w:rsid w:val="00B8134E"/>
    <w:rsid w:val="00B81B55"/>
    <w:rsid w:val="00B84613"/>
    <w:rsid w:val="00B854E6"/>
    <w:rsid w:val="00B87AF0"/>
    <w:rsid w:val="00B9037B"/>
    <w:rsid w:val="00B910BD"/>
    <w:rsid w:val="00B9189C"/>
    <w:rsid w:val="00B92045"/>
    <w:rsid w:val="00B93834"/>
    <w:rsid w:val="00B96469"/>
    <w:rsid w:val="00BA0DA2"/>
    <w:rsid w:val="00BA2981"/>
    <w:rsid w:val="00BA2BB7"/>
    <w:rsid w:val="00BA423F"/>
    <w:rsid w:val="00BA42EE"/>
    <w:rsid w:val="00BA48F9"/>
    <w:rsid w:val="00BA53AB"/>
    <w:rsid w:val="00BB0DCA"/>
    <w:rsid w:val="00BB1807"/>
    <w:rsid w:val="00BB2666"/>
    <w:rsid w:val="00BB66CC"/>
    <w:rsid w:val="00BB6B80"/>
    <w:rsid w:val="00BC3773"/>
    <w:rsid w:val="00BC37C9"/>
    <w:rsid w:val="00BC381A"/>
    <w:rsid w:val="00BD0962"/>
    <w:rsid w:val="00BD1EED"/>
    <w:rsid w:val="00BE231E"/>
    <w:rsid w:val="00BF0DA2"/>
    <w:rsid w:val="00BF109C"/>
    <w:rsid w:val="00BF34FA"/>
    <w:rsid w:val="00C004B6"/>
    <w:rsid w:val="00C047A7"/>
    <w:rsid w:val="00C05DE5"/>
    <w:rsid w:val="00C10932"/>
    <w:rsid w:val="00C130AA"/>
    <w:rsid w:val="00C22CE3"/>
    <w:rsid w:val="00C33027"/>
    <w:rsid w:val="00C37667"/>
    <w:rsid w:val="00C41EE4"/>
    <w:rsid w:val="00C435DB"/>
    <w:rsid w:val="00C44580"/>
    <w:rsid w:val="00C44D73"/>
    <w:rsid w:val="00C45DDD"/>
    <w:rsid w:val="00C50B42"/>
    <w:rsid w:val="00C516FF"/>
    <w:rsid w:val="00C51778"/>
    <w:rsid w:val="00C5202F"/>
    <w:rsid w:val="00C52BFA"/>
    <w:rsid w:val="00C53D1D"/>
    <w:rsid w:val="00C53F26"/>
    <w:rsid w:val="00C540BC"/>
    <w:rsid w:val="00C5430C"/>
    <w:rsid w:val="00C5499D"/>
    <w:rsid w:val="00C64F7D"/>
    <w:rsid w:val="00C65C46"/>
    <w:rsid w:val="00C67309"/>
    <w:rsid w:val="00C7614E"/>
    <w:rsid w:val="00C77BF1"/>
    <w:rsid w:val="00C80D60"/>
    <w:rsid w:val="00C82FBD"/>
    <w:rsid w:val="00C85267"/>
    <w:rsid w:val="00C8721B"/>
    <w:rsid w:val="00C9372C"/>
    <w:rsid w:val="00C9418E"/>
    <w:rsid w:val="00C9470E"/>
    <w:rsid w:val="00C94AC2"/>
    <w:rsid w:val="00C95CEB"/>
    <w:rsid w:val="00CA1054"/>
    <w:rsid w:val="00CA63EB"/>
    <w:rsid w:val="00CA69F1"/>
    <w:rsid w:val="00CB6991"/>
    <w:rsid w:val="00CC6194"/>
    <w:rsid w:val="00CC6305"/>
    <w:rsid w:val="00CC66BB"/>
    <w:rsid w:val="00CC712F"/>
    <w:rsid w:val="00CC78A5"/>
    <w:rsid w:val="00CD0149"/>
    <w:rsid w:val="00CD0516"/>
    <w:rsid w:val="00CD756B"/>
    <w:rsid w:val="00CE180E"/>
    <w:rsid w:val="00CE734F"/>
    <w:rsid w:val="00CF112E"/>
    <w:rsid w:val="00CF3845"/>
    <w:rsid w:val="00CF5F4F"/>
    <w:rsid w:val="00CF70A3"/>
    <w:rsid w:val="00D0490F"/>
    <w:rsid w:val="00D07CC2"/>
    <w:rsid w:val="00D11618"/>
    <w:rsid w:val="00D218DC"/>
    <w:rsid w:val="00D24E56"/>
    <w:rsid w:val="00D31643"/>
    <w:rsid w:val="00D31AEB"/>
    <w:rsid w:val="00D31DCC"/>
    <w:rsid w:val="00D31E4A"/>
    <w:rsid w:val="00D32ECD"/>
    <w:rsid w:val="00D361E4"/>
    <w:rsid w:val="00D42A8F"/>
    <w:rsid w:val="00D430FD"/>
    <w:rsid w:val="00D439F6"/>
    <w:rsid w:val="00D454DC"/>
    <w:rsid w:val="00D459C6"/>
    <w:rsid w:val="00D471C5"/>
    <w:rsid w:val="00D50729"/>
    <w:rsid w:val="00D50C19"/>
    <w:rsid w:val="00D5379E"/>
    <w:rsid w:val="00D62643"/>
    <w:rsid w:val="00D64C0F"/>
    <w:rsid w:val="00D72EFE"/>
    <w:rsid w:val="00D76227"/>
    <w:rsid w:val="00D77DF1"/>
    <w:rsid w:val="00D81625"/>
    <w:rsid w:val="00D86AFF"/>
    <w:rsid w:val="00D95A44"/>
    <w:rsid w:val="00D95D16"/>
    <w:rsid w:val="00D97C76"/>
    <w:rsid w:val="00DB02B4"/>
    <w:rsid w:val="00DB0A78"/>
    <w:rsid w:val="00DB538D"/>
    <w:rsid w:val="00DC275C"/>
    <w:rsid w:val="00DC2B58"/>
    <w:rsid w:val="00DC4B0D"/>
    <w:rsid w:val="00DC7FE1"/>
    <w:rsid w:val="00DD3F3F"/>
    <w:rsid w:val="00DD5572"/>
    <w:rsid w:val="00DE0DAB"/>
    <w:rsid w:val="00DE3DCF"/>
    <w:rsid w:val="00DE5D80"/>
    <w:rsid w:val="00DE6316"/>
    <w:rsid w:val="00DF4857"/>
    <w:rsid w:val="00DF58CD"/>
    <w:rsid w:val="00DF65DE"/>
    <w:rsid w:val="00E019A5"/>
    <w:rsid w:val="00E02EC8"/>
    <w:rsid w:val="00E037F5"/>
    <w:rsid w:val="00E04ECB"/>
    <w:rsid w:val="00E05A09"/>
    <w:rsid w:val="00E06CA1"/>
    <w:rsid w:val="00E10B6D"/>
    <w:rsid w:val="00E172B8"/>
    <w:rsid w:val="00E17FB4"/>
    <w:rsid w:val="00E20B75"/>
    <w:rsid w:val="00E214F2"/>
    <w:rsid w:val="00E2371E"/>
    <w:rsid w:val="00E24BD7"/>
    <w:rsid w:val="00E26523"/>
    <w:rsid w:val="00E26809"/>
    <w:rsid w:val="00E3412D"/>
    <w:rsid w:val="00E35A98"/>
    <w:rsid w:val="00E50135"/>
    <w:rsid w:val="00E56575"/>
    <w:rsid w:val="00E57322"/>
    <w:rsid w:val="00E628CB"/>
    <w:rsid w:val="00E62AD9"/>
    <w:rsid w:val="00E638C8"/>
    <w:rsid w:val="00E7094C"/>
    <w:rsid w:val="00E70DA6"/>
    <w:rsid w:val="00E7509B"/>
    <w:rsid w:val="00E766BA"/>
    <w:rsid w:val="00E86590"/>
    <w:rsid w:val="00E87163"/>
    <w:rsid w:val="00E907FF"/>
    <w:rsid w:val="00EA022E"/>
    <w:rsid w:val="00EA2445"/>
    <w:rsid w:val="00EA42D1"/>
    <w:rsid w:val="00EA42EF"/>
    <w:rsid w:val="00EA59B0"/>
    <w:rsid w:val="00EA685E"/>
    <w:rsid w:val="00EA77C3"/>
    <w:rsid w:val="00EB0292"/>
    <w:rsid w:val="00EB2DD1"/>
    <w:rsid w:val="00EB6B37"/>
    <w:rsid w:val="00EC29FE"/>
    <w:rsid w:val="00EC3C70"/>
    <w:rsid w:val="00ED01A5"/>
    <w:rsid w:val="00ED1205"/>
    <w:rsid w:val="00ED3A3D"/>
    <w:rsid w:val="00ED538A"/>
    <w:rsid w:val="00ED570C"/>
    <w:rsid w:val="00ED6FBC"/>
    <w:rsid w:val="00EE2F16"/>
    <w:rsid w:val="00EE3861"/>
    <w:rsid w:val="00EF21C5"/>
    <w:rsid w:val="00EF290C"/>
    <w:rsid w:val="00EF2E73"/>
    <w:rsid w:val="00EF5CDD"/>
    <w:rsid w:val="00EF7683"/>
    <w:rsid w:val="00EF7A2D"/>
    <w:rsid w:val="00F04F8D"/>
    <w:rsid w:val="00F10AD0"/>
    <w:rsid w:val="00F116CC"/>
    <w:rsid w:val="00F12BD1"/>
    <w:rsid w:val="00F14D9D"/>
    <w:rsid w:val="00F15327"/>
    <w:rsid w:val="00F168CF"/>
    <w:rsid w:val="00F2555C"/>
    <w:rsid w:val="00F31DF3"/>
    <w:rsid w:val="00F33AE5"/>
    <w:rsid w:val="00F3597D"/>
    <w:rsid w:val="00F4376D"/>
    <w:rsid w:val="00F45399"/>
    <w:rsid w:val="00F465EA"/>
    <w:rsid w:val="00F505C5"/>
    <w:rsid w:val="00F54E7B"/>
    <w:rsid w:val="00F55A88"/>
    <w:rsid w:val="00F74005"/>
    <w:rsid w:val="00F76884"/>
    <w:rsid w:val="00F83D24"/>
    <w:rsid w:val="00F83DD9"/>
    <w:rsid w:val="00F83F40"/>
    <w:rsid w:val="00FA117A"/>
    <w:rsid w:val="00FB386A"/>
    <w:rsid w:val="00FC0786"/>
    <w:rsid w:val="00FC339F"/>
    <w:rsid w:val="00FC49EF"/>
    <w:rsid w:val="00FE15DF"/>
    <w:rsid w:val="00FE36E2"/>
    <w:rsid w:val="00FF11AD"/>
    <w:rsid w:val="00FF2971"/>
    <w:rsid w:val="00FF311B"/>
    <w:rsid w:val="00FF34D4"/>
    <w:rsid w:val="00FF46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paragraph" w:customStyle="1" w:styleId="tytakt">
    <w:name w:val="tytakt"/>
    <w:basedOn w:val="Normalny"/>
    <w:rsid w:val="00831D15"/>
    <w:pPr>
      <w:spacing w:before="150" w:after="150" w:line="240" w:lineRule="auto"/>
      <w:jc w:val="center"/>
    </w:pPr>
    <w:rPr>
      <w:rFonts w:ascii="Times New Roman" w:hAnsi="Times New Roman"/>
      <w:b/>
      <w:bCs/>
      <w:color w:val="150A59"/>
      <w:sz w:val="29"/>
      <w:szCs w:val="29"/>
      <w:lang w:eastAsia="pl-PL"/>
    </w:rPr>
  </w:style>
  <w:style w:type="paragraph" w:customStyle="1" w:styleId="Default">
    <w:name w:val="Default"/>
    <w:rsid w:val="00831D15"/>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19592063">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AKT%5b%5dLOCK.45124943" TargetMode="External"/><Relationship Id="rId3" Type="http://schemas.openxmlformats.org/officeDocument/2006/relationships/settings" Target="settings.xml"/><Relationship Id="rId7" Type="http://schemas.openxmlformats.org/officeDocument/2006/relationships/hyperlink" Target="mailto:jerzy.owczarek@mf.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AKT%5b%5dBASIC.26068729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Ogólne"/>
          <w:gallery w:val="placeholder"/>
        </w:category>
        <w:types>
          <w:type w:val="bbPlcHdr"/>
        </w:types>
        <w:behaviors>
          <w:behavior w:val="content"/>
        </w:behaviors>
        <w:guid w:val="{8E1BFA08-CA9F-4AF9-91D6-5D6458516FEB}"/>
      </w:docPartPr>
      <w:docPartBody>
        <w:p w:rsidR="00F523DD" w:rsidRDefault="00AD66A9">
          <w:r w:rsidRPr="008D2484">
            <w:rPr>
              <w:rStyle w:val="Tekstzastpczy"/>
            </w:rPr>
            <w:t>Wybierz element.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AD66A9"/>
    <w:rsid w:val="00006F1D"/>
    <w:rsid w:val="00095546"/>
    <w:rsid w:val="00162ADD"/>
    <w:rsid w:val="001652CA"/>
    <w:rsid w:val="00190991"/>
    <w:rsid w:val="002A081E"/>
    <w:rsid w:val="002A4A17"/>
    <w:rsid w:val="002B7DA9"/>
    <w:rsid w:val="003101A9"/>
    <w:rsid w:val="0032515B"/>
    <w:rsid w:val="003805EC"/>
    <w:rsid w:val="003D43CB"/>
    <w:rsid w:val="003D69A7"/>
    <w:rsid w:val="003F7B6F"/>
    <w:rsid w:val="00497E03"/>
    <w:rsid w:val="004A143B"/>
    <w:rsid w:val="004A15B8"/>
    <w:rsid w:val="005911E0"/>
    <w:rsid w:val="005961E9"/>
    <w:rsid w:val="005A17AD"/>
    <w:rsid w:val="005F3D2D"/>
    <w:rsid w:val="006670BC"/>
    <w:rsid w:val="006A0FDC"/>
    <w:rsid w:val="007B070C"/>
    <w:rsid w:val="007B4063"/>
    <w:rsid w:val="007F5C38"/>
    <w:rsid w:val="00802D8B"/>
    <w:rsid w:val="00894476"/>
    <w:rsid w:val="008C7CA2"/>
    <w:rsid w:val="00A35FEA"/>
    <w:rsid w:val="00A87D98"/>
    <w:rsid w:val="00AD66A9"/>
    <w:rsid w:val="00B60B65"/>
    <w:rsid w:val="00BD5A0E"/>
    <w:rsid w:val="00C178C4"/>
    <w:rsid w:val="00C97E3E"/>
    <w:rsid w:val="00CB0DD2"/>
    <w:rsid w:val="00CE7250"/>
    <w:rsid w:val="00D6778C"/>
    <w:rsid w:val="00DD6A1A"/>
    <w:rsid w:val="00F15F09"/>
    <w:rsid w:val="00F523DD"/>
    <w:rsid w:val="00F802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0B6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D66A9"/>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4905</Words>
  <Characters>29435</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Formularz OSR</vt:lpstr>
    </vt:vector>
  </TitlesOfParts>
  <LinksUpToDate>false</LinksUpToDate>
  <CharactersWithSpaces>34272</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
  <cp:keywords>ocena skutków regulacji</cp:keywords>
  <cp:lastModifiedBy/>
  <cp:revision>1</cp:revision>
  <dcterms:created xsi:type="dcterms:W3CDTF">2018-04-10T10:16:00Z</dcterms:created>
  <dcterms:modified xsi:type="dcterms:W3CDTF">2018-04-10T10:16:00Z</dcterms:modified>
</cp:coreProperties>
</file>