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3E" w:rsidRPr="006F0C59" w:rsidRDefault="00F63B3E" w:rsidP="00F63B3E">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6F0C59">
        <w:rPr>
          <w:rFonts w:ascii="Times New Roman" w:hAnsi="Times New Roman" w:cs="Times New Roman"/>
          <w:sz w:val="24"/>
          <w:szCs w:val="24"/>
        </w:rPr>
        <w:t>UZASADNIENIE</w:t>
      </w:r>
    </w:p>
    <w:p w:rsidR="00F63B3E" w:rsidRPr="006F0C59" w:rsidRDefault="00F63B3E" w:rsidP="00F63B3E">
      <w:pPr>
        <w:autoSpaceDE w:val="0"/>
        <w:autoSpaceDN w:val="0"/>
        <w:adjustRightInd w:val="0"/>
        <w:spacing w:after="0" w:line="240" w:lineRule="auto"/>
        <w:jc w:val="center"/>
        <w:rPr>
          <w:rFonts w:ascii="Times New Roman" w:hAnsi="Times New Roman" w:cs="Times New Roman"/>
          <w:b/>
          <w:sz w:val="24"/>
          <w:szCs w:val="24"/>
        </w:rPr>
      </w:pPr>
    </w:p>
    <w:p w:rsidR="00F63B3E" w:rsidRPr="006F0C59" w:rsidRDefault="00F63B3E" w:rsidP="00F63B3E">
      <w:pPr>
        <w:spacing w:line="360" w:lineRule="auto"/>
        <w:jc w:val="both"/>
        <w:rPr>
          <w:rFonts w:ascii="Times New Roman" w:hAnsi="Times New Roman" w:cs="Times New Roman"/>
          <w:sz w:val="24"/>
          <w:szCs w:val="24"/>
        </w:rPr>
      </w:pP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Po dokonaniu analizy funkcjonowania ustawy z dnia 8 czerwca 2017  r. o sposobie ustalania najniższego wynagrodzenia zasadniczego pracowników wykonujących zawody medyczne zatrudnionych w podmiotach leczniczych (Dz. U. poz. 1473), zwanej dalej „ustawą z dnia 8 czerwca 2017 r.”, w początkowym okresie jej obowiązywania, zasadnym okazało się dokonanie w niej zmian.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Obecnie ustawa z dnia 8 czerwca 2017 r. reguluje sposób ustalania najniższego wynagrodzenia zasadniczego pracowników wykonujących zawody medyczne, czyli osób zatrudnionych w ramach stosunku pracy w podmiotach leczniczych, wykonujących zawód medyczny, zgodnie z definicją zawartą w art. 2 ust. 1 pkt 2 ustawy z dnia 15 kwietnia 2011 r. o działalności leczniczej (Dz. U. z 201</w:t>
      </w:r>
      <w:r w:rsidR="003E727E" w:rsidRPr="006F0C59">
        <w:rPr>
          <w:rFonts w:ascii="Times New Roman" w:hAnsi="Times New Roman" w:cs="Times New Roman"/>
          <w:sz w:val="24"/>
          <w:szCs w:val="24"/>
        </w:rPr>
        <w:t>8 r. poz. 160</w:t>
      </w:r>
      <w:r w:rsidRPr="006F0C59">
        <w:rPr>
          <w:rFonts w:ascii="Times New Roman" w:hAnsi="Times New Roman" w:cs="Times New Roman"/>
          <w:sz w:val="24"/>
          <w:szCs w:val="24"/>
        </w:rPr>
        <w:t>, z późn. zm.), a także osób zatrudnionych w ramach stosunku pracy w podmiocie leczniczym, które biorą bezpośredni udział w wykonywaniu zadań Państwowej Inspekcji Sanitarnej polegających na sprawowaniu zapobiegawczego i bieżącego nadzoru sanitarnego oraz prowadzeniu działalności zapobiegawczej i przeciwepidemicznej w zakresie chorób zakaźnych i innych chorób powodowanych warunkami środowiska, a także na prowadzeniu działalności oświatowo-zdrowotnej.</w:t>
      </w:r>
    </w:p>
    <w:p w:rsidR="00585E0A" w:rsidRPr="006F0C59" w:rsidRDefault="00585E0A" w:rsidP="00F63B3E">
      <w:pPr>
        <w:pStyle w:val="pismamz"/>
        <w:spacing w:after="160"/>
        <w:contextualSpacing w:val="0"/>
        <w:rPr>
          <w:rFonts w:ascii="Times New Roman" w:hAnsi="Times New Roman"/>
          <w:sz w:val="24"/>
          <w:szCs w:val="24"/>
        </w:rPr>
      </w:pPr>
      <w:r w:rsidRPr="006F0C59">
        <w:rPr>
          <w:rFonts w:ascii="Times New Roman" w:hAnsi="Times New Roman"/>
          <w:sz w:val="24"/>
          <w:szCs w:val="24"/>
        </w:rPr>
        <w:t xml:space="preserve">Przy ustalaniu najniższego wynagrodzenia zasadniczego w poszczególnych kategoriach pracowników, w rozumieniu ustawy z dnia 8 czerwca 2017 r., </w:t>
      </w:r>
      <w:r w:rsidR="00B342C1">
        <w:rPr>
          <w:rFonts w:ascii="Times New Roman" w:hAnsi="Times New Roman"/>
          <w:sz w:val="24"/>
          <w:szCs w:val="24"/>
        </w:rPr>
        <w:t xml:space="preserve">jest </w:t>
      </w:r>
      <w:r w:rsidRPr="006F0C59">
        <w:rPr>
          <w:rFonts w:ascii="Times New Roman" w:hAnsi="Times New Roman"/>
          <w:sz w:val="24"/>
          <w:szCs w:val="24"/>
        </w:rPr>
        <w:t>brane pod uwagę wyłącznie podstawowe wynagrodzenie brutto, określone w umowie o pracę, bez dodatkowych składników wynagrodzenia (wynikających z przepisów prawa pracy</w:t>
      </w:r>
      <w:r w:rsidR="006E035E" w:rsidRPr="006F0C59">
        <w:rPr>
          <w:rFonts w:ascii="Times New Roman" w:hAnsi="Times New Roman"/>
          <w:sz w:val="24"/>
          <w:szCs w:val="24"/>
        </w:rPr>
        <w:t>,</w:t>
      </w:r>
      <w:r w:rsidRPr="006F0C59">
        <w:rPr>
          <w:rFonts w:ascii="Times New Roman" w:hAnsi="Times New Roman"/>
          <w:sz w:val="24"/>
          <w:szCs w:val="24"/>
        </w:rPr>
        <w:t xml:space="preserve"> </w:t>
      </w:r>
      <w:r w:rsidR="005A5252" w:rsidRPr="006F0C59">
        <w:rPr>
          <w:rFonts w:ascii="Times New Roman" w:hAnsi="Times New Roman"/>
          <w:sz w:val="24"/>
          <w:szCs w:val="24"/>
        </w:rPr>
        <w:t xml:space="preserve">jak </w:t>
      </w:r>
      <w:r w:rsidRPr="006F0C59">
        <w:rPr>
          <w:rFonts w:ascii="Times New Roman" w:hAnsi="Times New Roman"/>
          <w:sz w:val="24"/>
          <w:szCs w:val="24"/>
        </w:rPr>
        <w:t>np. dodatek za pracę w porze nocnej, w niedziele i święta</w:t>
      </w:r>
      <w:r w:rsidR="005A5252" w:rsidRPr="006F0C59">
        <w:rPr>
          <w:rFonts w:ascii="Times New Roman" w:hAnsi="Times New Roman"/>
          <w:sz w:val="24"/>
          <w:szCs w:val="24"/>
        </w:rPr>
        <w:t xml:space="preserve"> oraz </w:t>
      </w:r>
      <w:r w:rsidRPr="006F0C59">
        <w:rPr>
          <w:rFonts w:ascii="Times New Roman" w:hAnsi="Times New Roman"/>
          <w:sz w:val="24"/>
          <w:szCs w:val="24"/>
        </w:rPr>
        <w:t>wynikających z zakładowych układów zbiorowych pracy</w:t>
      </w:r>
      <w:r w:rsidR="006E035E" w:rsidRPr="006F0C59">
        <w:rPr>
          <w:rFonts w:ascii="Times New Roman" w:hAnsi="Times New Roman"/>
          <w:sz w:val="24"/>
          <w:szCs w:val="24"/>
        </w:rPr>
        <w:t>,</w:t>
      </w:r>
      <w:r w:rsidRPr="006F0C59">
        <w:rPr>
          <w:rFonts w:ascii="Times New Roman" w:hAnsi="Times New Roman"/>
          <w:sz w:val="24"/>
          <w:szCs w:val="24"/>
        </w:rPr>
        <w:t xml:space="preserve"> czy regulaminów wynagradzania)</w:t>
      </w:r>
      <w:r w:rsidR="005A5252" w:rsidRPr="006F0C59">
        <w:rPr>
          <w:rFonts w:ascii="Times New Roman" w:hAnsi="Times New Roman"/>
          <w:sz w:val="24"/>
          <w:szCs w:val="24"/>
        </w:rPr>
        <w:t>,</w:t>
      </w:r>
      <w:r w:rsidRPr="006F0C59">
        <w:rPr>
          <w:rFonts w:ascii="Times New Roman" w:hAnsi="Times New Roman"/>
          <w:sz w:val="24"/>
          <w:szCs w:val="24"/>
        </w:rPr>
        <w:t xml:space="preserve"> </w:t>
      </w:r>
      <w:r w:rsidR="005A5252" w:rsidRPr="006F0C59">
        <w:rPr>
          <w:rFonts w:ascii="Times New Roman" w:hAnsi="Times New Roman"/>
          <w:sz w:val="24"/>
          <w:szCs w:val="24"/>
        </w:rPr>
        <w:t xml:space="preserve">a także </w:t>
      </w:r>
      <w:r w:rsidRPr="006F0C59">
        <w:rPr>
          <w:rFonts w:ascii="Times New Roman" w:hAnsi="Times New Roman"/>
          <w:sz w:val="24"/>
          <w:szCs w:val="24"/>
        </w:rPr>
        <w:t>innych świadczeń związanych z pracą. Przeciętne miesięczne wynagrodzenie brutto w gospodarce narodowej w roku poprzedzającym ustalenie, ogłaszane przez Prezesa G</w:t>
      </w:r>
      <w:r w:rsidR="006E035E" w:rsidRPr="006F0C59">
        <w:rPr>
          <w:rFonts w:ascii="Times New Roman" w:hAnsi="Times New Roman"/>
          <w:sz w:val="24"/>
          <w:szCs w:val="24"/>
        </w:rPr>
        <w:t xml:space="preserve">łównego </w:t>
      </w:r>
      <w:r w:rsidRPr="006F0C59">
        <w:rPr>
          <w:rFonts w:ascii="Times New Roman" w:hAnsi="Times New Roman"/>
          <w:sz w:val="24"/>
          <w:szCs w:val="24"/>
        </w:rPr>
        <w:t>U</w:t>
      </w:r>
      <w:r w:rsidR="006E035E" w:rsidRPr="006F0C59">
        <w:rPr>
          <w:rFonts w:ascii="Times New Roman" w:hAnsi="Times New Roman"/>
          <w:sz w:val="24"/>
          <w:szCs w:val="24"/>
        </w:rPr>
        <w:t xml:space="preserve">rzędu </w:t>
      </w:r>
      <w:r w:rsidRPr="006F0C59">
        <w:rPr>
          <w:rFonts w:ascii="Times New Roman" w:hAnsi="Times New Roman"/>
          <w:sz w:val="24"/>
          <w:szCs w:val="24"/>
        </w:rPr>
        <w:t>S</w:t>
      </w:r>
      <w:r w:rsidR="006E035E" w:rsidRPr="006F0C59">
        <w:rPr>
          <w:rFonts w:ascii="Times New Roman" w:hAnsi="Times New Roman"/>
          <w:sz w:val="24"/>
          <w:szCs w:val="24"/>
        </w:rPr>
        <w:t>tatystycznego</w:t>
      </w:r>
      <w:r w:rsidRPr="006F0C59">
        <w:rPr>
          <w:rFonts w:ascii="Times New Roman" w:hAnsi="Times New Roman"/>
          <w:sz w:val="24"/>
          <w:szCs w:val="24"/>
        </w:rPr>
        <w:t xml:space="preserve"> (uwzględniające zarówno wynagrodzenie zasadnicze i wszelkie dodatki wynikające z zawartej umowy</w:t>
      </w:r>
      <w:r w:rsidR="006E035E" w:rsidRPr="006F0C59">
        <w:rPr>
          <w:rFonts w:ascii="Times New Roman" w:hAnsi="Times New Roman"/>
          <w:sz w:val="24"/>
          <w:szCs w:val="24"/>
        </w:rPr>
        <w:t>,</w:t>
      </w:r>
      <w:r w:rsidRPr="006F0C59">
        <w:rPr>
          <w:rFonts w:ascii="Times New Roman" w:hAnsi="Times New Roman"/>
          <w:sz w:val="24"/>
          <w:szCs w:val="24"/>
        </w:rPr>
        <w:t xml:space="preserve"> np. dodatek za pracę w porze nocnej, w niedziele i święta, jak również wynikające z zakładowych układów zbiorowych pracy czy regulaminów wynagradzania) stanowi natomiast jedynie wartość kwotową, przyjętą przez ustawodawcę jako punkt odniesienia do ustalania najniższego wynagrodzenia zasadniczego.</w:t>
      </w:r>
    </w:p>
    <w:p w:rsidR="00F63B3E" w:rsidRPr="006F0C59" w:rsidRDefault="00F63B3E" w:rsidP="00F63B3E">
      <w:pPr>
        <w:pStyle w:val="pismamz"/>
        <w:spacing w:after="160"/>
        <w:contextualSpacing w:val="0"/>
        <w:rPr>
          <w:rFonts w:ascii="Times New Roman" w:hAnsi="Times New Roman"/>
          <w:sz w:val="24"/>
          <w:szCs w:val="24"/>
        </w:rPr>
      </w:pPr>
      <w:r w:rsidRPr="006F0C59">
        <w:rPr>
          <w:rFonts w:ascii="Times New Roman" w:hAnsi="Times New Roman"/>
          <w:sz w:val="24"/>
          <w:szCs w:val="24"/>
        </w:rPr>
        <w:lastRenderedPageBreak/>
        <w:t xml:space="preserve">Najistotniejszą zmianą jest rozszerzenie zakresu podmiotowego ustawy z dnia 8 czerwca 2017 r. o pracowników działalności podstawowej, innych niż pracownicy wykonujący zawody medyczne, którymi w rozumieniu projektowanej ustawy są osoby zatrudnione w ramach stosunku pracy w podmiocie leczniczym, </w:t>
      </w:r>
      <w:r w:rsidR="00E63475" w:rsidRPr="006F0C59">
        <w:rPr>
          <w:rFonts w:ascii="Times New Roman" w:hAnsi="Times New Roman"/>
          <w:sz w:val="24"/>
          <w:szCs w:val="24"/>
        </w:rPr>
        <w:t xml:space="preserve">inne niż pracownicy wykonujący zawód medyczny, </w:t>
      </w:r>
      <w:r w:rsidRPr="006F0C59">
        <w:rPr>
          <w:rFonts w:ascii="Times New Roman" w:hAnsi="Times New Roman"/>
          <w:sz w:val="24"/>
          <w:szCs w:val="24"/>
        </w:rPr>
        <w:t xml:space="preserve">które wykonują pracę pozostającą w bezpośrednim związku z udzielaniem świadczeń zdrowotnych w komórkach </w:t>
      </w:r>
      <w:r w:rsidR="00E63475" w:rsidRPr="006F0C59">
        <w:rPr>
          <w:rFonts w:ascii="Times New Roman" w:hAnsi="Times New Roman"/>
          <w:sz w:val="24"/>
          <w:szCs w:val="24"/>
        </w:rPr>
        <w:t>organizacyjnych</w:t>
      </w:r>
      <w:r w:rsidRPr="006F0C59">
        <w:rPr>
          <w:rFonts w:ascii="Times New Roman" w:hAnsi="Times New Roman"/>
          <w:sz w:val="24"/>
          <w:szCs w:val="24"/>
        </w:rPr>
        <w:t xml:space="preserve"> zakładu leczniczego</w:t>
      </w:r>
      <w:r w:rsidR="00E63475" w:rsidRPr="006F0C59">
        <w:rPr>
          <w:rFonts w:ascii="Times New Roman" w:hAnsi="Times New Roman"/>
          <w:sz w:val="24"/>
          <w:szCs w:val="24"/>
        </w:rPr>
        <w:t>, których działalność jest związana z udzielaniem świadczeń zdrowotnych oraz są zatrudnione na stanowiskach działalności podstawowej określonych w przepisach rozporządzenia Ministra Zdrowia z dnia 20 lipca 2011 r. w sprawie kwalifikacji wymaganych od pracowników na poszczególnych rodzajach stanowisk pracy w podmiotach leczniczych niebędących przedsiębiorcami (Dz. U.  poz. 896)</w:t>
      </w:r>
      <w:r w:rsidRPr="006F0C59">
        <w:rPr>
          <w:rFonts w:ascii="Times New Roman" w:hAnsi="Times New Roman"/>
          <w:sz w:val="24"/>
          <w:szCs w:val="24"/>
        </w:rPr>
        <w:t xml:space="preserve">. W załączniku do </w:t>
      </w:r>
      <w:r w:rsidR="006E035E" w:rsidRPr="006F0C59">
        <w:rPr>
          <w:rFonts w:ascii="Times New Roman" w:hAnsi="Times New Roman"/>
          <w:sz w:val="24"/>
          <w:szCs w:val="24"/>
        </w:rPr>
        <w:t xml:space="preserve">projektu </w:t>
      </w:r>
      <w:r w:rsidRPr="006F0C59">
        <w:rPr>
          <w:rFonts w:ascii="Times New Roman" w:hAnsi="Times New Roman"/>
          <w:sz w:val="24"/>
          <w:szCs w:val="24"/>
        </w:rPr>
        <w:t xml:space="preserve">ustawy zaproponowano przypisanie przedmiotowej grupie pracowników współczynnika pracy w wysokości 0,53.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Grupa osób, które postanowiono objąć </w:t>
      </w:r>
      <w:r w:rsidR="005A5252" w:rsidRPr="006F0C59">
        <w:rPr>
          <w:rFonts w:ascii="Times New Roman" w:hAnsi="Times New Roman" w:cs="Times New Roman"/>
          <w:sz w:val="24"/>
          <w:szCs w:val="24"/>
        </w:rPr>
        <w:t xml:space="preserve">zakresem </w:t>
      </w:r>
      <w:r w:rsidRPr="006F0C59">
        <w:rPr>
          <w:rFonts w:ascii="Times New Roman" w:hAnsi="Times New Roman" w:cs="Times New Roman"/>
          <w:sz w:val="24"/>
          <w:szCs w:val="24"/>
        </w:rPr>
        <w:t>ustaw</w:t>
      </w:r>
      <w:r w:rsidR="005A5252" w:rsidRPr="006F0C59">
        <w:rPr>
          <w:rFonts w:ascii="Times New Roman" w:hAnsi="Times New Roman" w:cs="Times New Roman"/>
          <w:sz w:val="24"/>
          <w:szCs w:val="24"/>
        </w:rPr>
        <w:t>y</w:t>
      </w:r>
      <w:r w:rsidRPr="006F0C59">
        <w:rPr>
          <w:rFonts w:ascii="Times New Roman" w:hAnsi="Times New Roman" w:cs="Times New Roman"/>
          <w:sz w:val="24"/>
          <w:szCs w:val="24"/>
        </w:rPr>
        <w:t xml:space="preserve"> z dnia 8 czerwca 2017 r., została ograniczona do pracowników, </w:t>
      </w:r>
      <w:r w:rsidR="00E63475" w:rsidRPr="006F0C59">
        <w:rPr>
          <w:rFonts w:ascii="Times New Roman" w:hAnsi="Times New Roman" w:cs="Times New Roman"/>
          <w:sz w:val="24"/>
          <w:szCs w:val="24"/>
        </w:rPr>
        <w:t>któr</w:t>
      </w:r>
      <w:r w:rsidR="005A5252" w:rsidRPr="006F0C59">
        <w:rPr>
          <w:rFonts w:ascii="Times New Roman" w:hAnsi="Times New Roman" w:cs="Times New Roman"/>
          <w:sz w:val="24"/>
          <w:szCs w:val="24"/>
        </w:rPr>
        <w:t>zy</w:t>
      </w:r>
      <w:r w:rsidR="00E63475" w:rsidRPr="006F0C59">
        <w:rPr>
          <w:rFonts w:ascii="Times New Roman" w:hAnsi="Times New Roman" w:cs="Times New Roman"/>
          <w:sz w:val="24"/>
          <w:szCs w:val="24"/>
        </w:rPr>
        <w:t xml:space="preserve"> </w:t>
      </w:r>
      <w:r w:rsidRPr="006F0C59">
        <w:rPr>
          <w:rFonts w:ascii="Times New Roman" w:hAnsi="Times New Roman" w:cs="Times New Roman"/>
          <w:sz w:val="24"/>
          <w:szCs w:val="24"/>
        </w:rPr>
        <w:t xml:space="preserve">wykonują pracę w </w:t>
      </w:r>
      <w:r w:rsidR="00E63475" w:rsidRPr="006F0C59">
        <w:rPr>
          <w:rFonts w:ascii="Times New Roman" w:hAnsi="Times New Roman" w:cs="Times New Roman"/>
          <w:sz w:val="24"/>
          <w:szCs w:val="24"/>
        </w:rPr>
        <w:t>komórkach organizacyjnych zakładu leczniczego, których działalność jest związana z udzielaniem świadczeń zdrowotnych</w:t>
      </w:r>
      <w:r w:rsidRPr="006F0C59">
        <w:rPr>
          <w:rFonts w:ascii="Times New Roman" w:hAnsi="Times New Roman" w:cs="Times New Roman"/>
          <w:sz w:val="24"/>
          <w:szCs w:val="24"/>
        </w:rPr>
        <w:t xml:space="preserve">. Kategoria </w:t>
      </w:r>
      <w:r w:rsidR="00E63475" w:rsidRPr="006F0C59">
        <w:rPr>
          <w:rFonts w:ascii="Times New Roman" w:hAnsi="Times New Roman" w:cs="Times New Roman"/>
          <w:sz w:val="24"/>
          <w:szCs w:val="24"/>
        </w:rPr>
        <w:t>komórki organizacyjnej zakładu leczniczego, której działalność jest związana z udzielaniem świadczeń zdrowotnych</w:t>
      </w:r>
      <w:r w:rsidR="00D66122" w:rsidRPr="006F0C59">
        <w:rPr>
          <w:rFonts w:ascii="Times New Roman" w:hAnsi="Times New Roman" w:cs="Times New Roman"/>
          <w:sz w:val="24"/>
          <w:szCs w:val="24"/>
        </w:rPr>
        <w:t>,</w:t>
      </w:r>
      <w:r w:rsidRPr="006F0C59">
        <w:rPr>
          <w:rFonts w:ascii="Times New Roman" w:hAnsi="Times New Roman" w:cs="Times New Roman"/>
          <w:sz w:val="24"/>
          <w:szCs w:val="24"/>
        </w:rPr>
        <w:t xml:space="preserve"> funkcjonuje w obrocie</w:t>
      </w:r>
      <w:r w:rsidR="005A5252" w:rsidRPr="006F0C59">
        <w:rPr>
          <w:rFonts w:ascii="Times New Roman" w:hAnsi="Times New Roman" w:cs="Times New Roman"/>
          <w:sz w:val="24"/>
          <w:szCs w:val="24"/>
        </w:rPr>
        <w:t xml:space="preserve"> prawnym</w:t>
      </w:r>
      <w:r w:rsidRPr="006F0C59">
        <w:rPr>
          <w:rFonts w:ascii="Times New Roman" w:hAnsi="Times New Roman" w:cs="Times New Roman"/>
          <w:sz w:val="24"/>
          <w:szCs w:val="24"/>
        </w:rPr>
        <w:t xml:space="preserve"> i podlega wykazaniu przez podmiot leczniczy w rejestrze podmiotów </w:t>
      </w:r>
      <w:r w:rsidR="005A5252" w:rsidRPr="006F0C59">
        <w:rPr>
          <w:rFonts w:ascii="Times New Roman" w:hAnsi="Times New Roman" w:cs="Times New Roman"/>
          <w:sz w:val="24"/>
          <w:szCs w:val="24"/>
        </w:rPr>
        <w:t>wykonujących działalność leczniczą</w:t>
      </w:r>
      <w:r w:rsidRPr="006F0C59">
        <w:rPr>
          <w:rFonts w:ascii="Times New Roman" w:hAnsi="Times New Roman" w:cs="Times New Roman"/>
          <w:sz w:val="24"/>
          <w:szCs w:val="24"/>
        </w:rPr>
        <w:t>.</w:t>
      </w:r>
      <w:r w:rsidR="00E63475" w:rsidRPr="006F0C59">
        <w:rPr>
          <w:rFonts w:ascii="Times New Roman" w:hAnsi="Times New Roman" w:cs="Times New Roman"/>
          <w:sz w:val="24"/>
          <w:szCs w:val="24"/>
        </w:rPr>
        <w:t xml:space="preserve"> Zgodnie z art. 100 ust. 1 pkt 6 ustawy z dnia 15 kwietnia 2011 r. o działalności leczniczej</w:t>
      </w:r>
      <w:r w:rsidR="00D66122" w:rsidRPr="006F0C59">
        <w:rPr>
          <w:rFonts w:ascii="Times New Roman" w:hAnsi="Times New Roman" w:cs="Times New Roman"/>
          <w:sz w:val="24"/>
          <w:szCs w:val="24"/>
        </w:rPr>
        <w:t xml:space="preserve">, podmiot, który zamierza wykonywać działalność leczniczą jako podmiot leczniczy, </w:t>
      </w:r>
      <w:r w:rsidR="00DA6A8A" w:rsidRPr="006F0C59">
        <w:rPr>
          <w:rFonts w:ascii="Times New Roman" w:hAnsi="Times New Roman" w:cs="Times New Roman"/>
          <w:sz w:val="24"/>
          <w:szCs w:val="24"/>
        </w:rPr>
        <w:t xml:space="preserve">podlega obowiązkowi złożenia </w:t>
      </w:r>
      <w:r w:rsidR="00D66122" w:rsidRPr="006F0C59">
        <w:rPr>
          <w:rFonts w:ascii="Times New Roman" w:hAnsi="Times New Roman" w:cs="Times New Roman"/>
          <w:sz w:val="24"/>
          <w:szCs w:val="24"/>
        </w:rPr>
        <w:t>organowi prowadzącemu rejestr</w:t>
      </w:r>
      <w:r w:rsidR="00DA6A8A" w:rsidRPr="006F0C59">
        <w:rPr>
          <w:rFonts w:ascii="Times New Roman" w:hAnsi="Times New Roman" w:cs="Times New Roman"/>
          <w:sz w:val="24"/>
          <w:szCs w:val="24"/>
        </w:rPr>
        <w:t xml:space="preserve"> wniosku</w:t>
      </w:r>
      <w:r w:rsidR="00D66122" w:rsidRPr="006F0C59">
        <w:rPr>
          <w:rFonts w:ascii="Times New Roman" w:hAnsi="Times New Roman" w:cs="Times New Roman"/>
          <w:sz w:val="24"/>
          <w:szCs w:val="24"/>
        </w:rPr>
        <w:t xml:space="preserve"> o wpis do rejestru podmiotów wykonujących działalność leczniczą</w:t>
      </w:r>
      <w:r w:rsidR="00DA6A8A" w:rsidRPr="006F0C59">
        <w:rPr>
          <w:rFonts w:ascii="Times New Roman" w:hAnsi="Times New Roman" w:cs="Times New Roman"/>
          <w:sz w:val="24"/>
          <w:szCs w:val="24"/>
        </w:rPr>
        <w:t>. Wniosek ten powinien</w:t>
      </w:r>
      <w:r w:rsidR="00D66122" w:rsidRPr="006F0C59">
        <w:rPr>
          <w:rFonts w:ascii="Times New Roman" w:hAnsi="Times New Roman" w:cs="Times New Roman"/>
          <w:sz w:val="24"/>
          <w:szCs w:val="24"/>
        </w:rPr>
        <w:t xml:space="preserve"> zawiera</w:t>
      </w:r>
      <w:r w:rsidR="00DA6A8A" w:rsidRPr="006F0C59">
        <w:rPr>
          <w:rFonts w:ascii="Times New Roman" w:hAnsi="Times New Roman" w:cs="Times New Roman"/>
          <w:sz w:val="24"/>
          <w:szCs w:val="24"/>
        </w:rPr>
        <w:t xml:space="preserve">ć </w:t>
      </w:r>
      <w:r w:rsidR="00D66122" w:rsidRPr="006F0C59">
        <w:rPr>
          <w:rFonts w:ascii="Times New Roman" w:hAnsi="Times New Roman" w:cs="Times New Roman"/>
          <w:sz w:val="24"/>
          <w:szCs w:val="24"/>
        </w:rPr>
        <w:t>między innymi wykaz komórek organizacyjnych zakładu leczniczego, których działalność jest związana z udzielaniem świadczeń zdrowotnych. Na podstawie upoważnienia zawartego w art. 105 ust. 5 ustawy z dnia 15 kwietnia 2011 r. o działalności leczniczej zostało wydane</w:t>
      </w:r>
      <w:r w:rsidRPr="006F0C59">
        <w:rPr>
          <w:rFonts w:ascii="Times New Roman" w:hAnsi="Times New Roman" w:cs="Times New Roman"/>
          <w:sz w:val="24"/>
          <w:szCs w:val="24"/>
        </w:rPr>
        <w:t xml:space="preserve"> </w:t>
      </w:r>
      <w:r w:rsidR="00D66122" w:rsidRPr="006F0C59">
        <w:rPr>
          <w:rFonts w:ascii="Times New Roman" w:hAnsi="Times New Roman" w:cs="Times New Roman"/>
          <w:sz w:val="24"/>
          <w:szCs w:val="24"/>
        </w:rPr>
        <w:t>rozporządzenia Ministra Zdrowia z dnia 17 maja 2012 r. w sprawie systemu resortowych kodów identyfikacyjnych oraz szczegółowego sposobu ich nadawania (Dz. U. poz. 594, z póź</w:t>
      </w:r>
      <w:r w:rsidR="00DF0F9E" w:rsidRPr="006F0C59">
        <w:rPr>
          <w:rFonts w:ascii="Times New Roman" w:hAnsi="Times New Roman" w:cs="Times New Roman"/>
          <w:sz w:val="24"/>
          <w:szCs w:val="24"/>
        </w:rPr>
        <w:t>n</w:t>
      </w:r>
      <w:r w:rsidR="00D66122" w:rsidRPr="006F0C59">
        <w:rPr>
          <w:rFonts w:ascii="Times New Roman" w:hAnsi="Times New Roman" w:cs="Times New Roman"/>
          <w:sz w:val="24"/>
          <w:szCs w:val="24"/>
        </w:rPr>
        <w:t>. zm.), zatem dla celów zidentyfikowania komórek organizacyjnych, których działalność jest związana z udzielaniem świadczeń zdrowotnych</w:t>
      </w:r>
      <w:r w:rsidR="005A5252" w:rsidRPr="006F0C59">
        <w:rPr>
          <w:rFonts w:ascii="Times New Roman" w:hAnsi="Times New Roman" w:cs="Times New Roman"/>
          <w:sz w:val="24"/>
          <w:szCs w:val="24"/>
        </w:rPr>
        <w:t>,</w:t>
      </w:r>
      <w:r w:rsidR="00D66122" w:rsidRPr="006F0C59">
        <w:rPr>
          <w:rFonts w:ascii="Times New Roman" w:hAnsi="Times New Roman" w:cs="Times New Roman"/>
          <w:sz w:val="24"/>
          <w:szCs w:val="24"/>
        </w:rPr>
        <w:t xml:space="preserve"> można posiłkować się </w:t>
      </w:r>
      <w:r w:rsidR="002850FD" w:rsidRPr="006F0C59">
        <w:rPr>
          <w:rFonts w:ascii="Times New Roman" w:hAnsi="Times New Roman" w:cs="Times New Roman"/>
          <w:sz w:val="24"/>
          <w:szCs w:val="24"/>
        </w:rPr>
        <w:t xml:space="preserve">wykazem </w:t>
      </w:r>
      <w:r w:rsidR="00D66122" w:rsidRPr="006F0C59">
        <w:rPr>
          <w:rFonts w:ascii="Times New Roman" w:hAnsi="Times New Roman" w:cs="Times New Roman"/>
          <w:sz w:val="24"/>
          <w:szCs w:val="24"/>
        </w:rPr>
        <w:t xml:space="preserve">zawartym w załączniku nr 2 </w:t>
      </w:r>
      <w:r w:rsidR="002850FD" w:rsidRPr="006F0C59">
        <w:rPr>
          <w:rFonts w:ascii="Times New Roman" w:hAnsi="Times New Roman" w:cs="Times New Roman"/>
          <w:sz w:val="24"/>
          <w:szCs w:val="24"/>
        </w:rPr>
        <w:t>do ww. rozporządzenia Ministra Zdrowia z dnia 17 maja 2012 r.</w:t>
      </w:r>
      <w:r w:rsidRPr="006F0C59">
        <w:rPr>
          <w:rFonts w:ascii="Times New Roman" w:hAnsi="Times New Roman" w:cs="Times New Roman"/>
          <w:sz w:val="24"/>
          <w:szCs w:val="24"/>
        </w:rPr>
        <w:t xml:space="preserve">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lastRenderedPageBreak/>
        <w:t xml:space="preserve">Dla wyróżnienia grupy pracowników działalności podstawowej, innych niż pracownicy wykonujący zawody medyczne, znaczenie miała rola tej grupy pracowników w sektorze ochrony zdrowia oraz wpływ ich pracy na bezpieczeństwo zdrowotne pacjentów. Zarówno bowiem pracownicy wykonujący zawody medyczne, jak i pracownicy działalności podstawowej, inni niż pracownicy wykonujący zawody medyczne, którzy wykonują pracę pozostającą w bezpośrednim związku z udzielaniem świadczeń zdrowotnych w komórkach działalności medycznej zakładu leczniczego, łączy wspólna cecha relewantna, którą jest uczestniczenie w procesie udzielania świadczeń zdrowotnych w podmiotach leczniczych.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Unormowania w zaproponowanym brzmieniu mają na celu ochronę interesu niewątpliwej wagi, tj. konstytucyjnie zagwarantowanego prawa obywatela do ochrony zdrowia. Dla zapewnienia przez państwo realizacji tego uprawnienia zasadne </w:t>
      </w:r>
      <w:r w:rsidR="005A5252" w:rsidRPr="006F0C59">
        <w:rPr>
          <w:rFonts w:ascii="Times New Roman" w:hAnsi="Times New Roman" w:cs="Times New Roman"/>
          <w:sz w:val="24"/>
          <w:szCs w:val="24"/>
        </w:rPr>
        <w:t>jest</w:t>
      </w:r>
      <w:r w:rsidRPr="006F0C59">
        <w:rPr>
          <w:rFonts w:ascii="Times New Roman" w:hAnsi="Times New Roman" w:cs="Times New Roman"/>
          <w:sz w:val="24"/>
          <w:szCs w:val="24"/>
        </w:rPr>
        <w:t xml:space="preserve"> podejmowanie działań mających na celu poprawę warunków zatrudnienia nie tylko profesjonalnej kadry medycznej, ale także pracowników, tzw. działalności podstawowej, którzy co prawda nie posiadają uprawnień do samodzielnego udzielania świadczeń zdrowotnych, ale </w:t>
      </w:r>
      <w:r w:rsidR="005A5252" w:rsidRPr="006F0C59">
        <w:rPr>
          <w:rFonts w:ascii="Times New Roman" w:hAnsi="Times New Roman" w:cs="Times New Roman"/>
          <w:sz w:val="24"/>
          <w:szCs w:val="24"/>
        </w:rPr>
        <w:t xml:space="preserve">- </w:t>
      </w:r>
      <w:r w:rsidRPr="006F0C59">
        <w:rPr>
          <w:rFonts w:ascii="Times New Roman" w:hAnsi="Times New Roman" w:cs="Times New Roman"/>
          <w:sz w:val="24"/>
          <w:szCs w:val="24"/>
        </w:rPr>
        <w:t>wykonując pracę w komórkach działalności medycznej zakładu leczniczego</w:t>
      </w:r>
      <w:r w:rsidR="005A5252" w:rsidRPr="006F0C59">
        <w:rPr>
          <w:rFonts w:ascii="Times New Roman" w:hAnsi="Times New Roman" w:cs="Times New Roman"/>
          <w:sz w:val="24"/>
          <w:szCs w:val="24"/>
        </w:rPr>
        <w:t xml:space="preserve"> - </w:t>
      </w:r>
      <w:r w:rsidRPr="006F0C59">
        <w:rPr>
          <w:rFonts w:ascii="Times New Roman" w:hAnsi="Times New Roman" w:cs="Times New Roman"/>
          <w:sz w:val="24"/>
          <w:szCs w:val="24"/>
        </w:rPr>
        <w:t>bezpośrednio wspierają udzielanie tych świadczeń. Ich praca ma zatem wpływ na jakość i dostępność świadczeń zdrowotnych udzielanych przez pracowników medycznych w podmiotach leczniczych, co uzasadnia wyróżnienie tej grupy pracowników i objęcie jej zakresem zmienianej ustawy.</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Celem wprowadzenia progu najniższej płacy zasadniczej dla grupy pracowników działalności podstawowej, innych niż pracownicy wykonujący zawody medyczne, jest również przeciwdziałanie rosnącym dysproporcjom pomiędzy poziomem wynagrodzeń pracowników medycznych, a poziomem płac pracowników działalności podstawowej, których praca pozostaje w bezpośrednim związku z udzielaniem świadczeń zdrowotnych.</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W świetle powyższego, rozszerzenie zakresu podmiotowego ustawy z dnia 8 czerwca 2017 r. </w:t>
      </w:r>
      <w:r w:rsidR="00A83425" w:rsidRPr="006F0C59">
        <w:rPr>
          <w:rFonts w:ascii="Times New Roman" w:hAnsi="Times New Roman" w:cs="Times New Roman"/>
          <w:sz w:val="24"/>
          <w:szCs w:val="24"/>
        </w:rPr>
        <w:t>na</w:t>
      </w:r>
      <w:r w:rsidRPr="006F0C59">
        <w:rPr>
          <w:rFonts w:ascii="Times New Roman" w:hAnsi="Times New Roman" w:cs="Times New Roman"/>
          <w:sz w:val="24"/>
          <w:szCs w:val="24"/>
        </w:rPr>
        <w:t xml:space="preserve"> tak wyodrębnion</w:t>
      </w:r>
      <w:r w:rsidR="00A83425" w:rsidRPr="006F0C59">
        <w:rPr>
          <w:rFonts w:ascii="Times New Roman" w:hAnsi="Times New Roman" w:cs="Times New Roman"/>
          <w:sz w:val="24"/>
          <w:szCs w:val="24"/>
        </w:rPr>
        <w:t>ą</w:t>
      </w:r>
      <w:r w:rsidRPr="006F0C59">
        <w:rPr>
          <w:rFonts w:ascii="Times New Roman" w:hAnsi="Times New Roman" w:cs="Times New Roman"/>
          <w:sz w:val="24"/>
          <w:szCs w:val="24"/>
        </w:rPr>
        <w:t xml:space="preserve"> grup</w:t>
      </w:r>
      <w:r w:rsidR="00A83425" w:rsidRPr="006F0C59">
        <w:rPr>
          <w:rFonts w:ascii="Times New Roman" w:hAnsi="Times New Roman" w:cs="Times New Roman"/>
          <w:sz w:val="24"/>
          <w:szCs w:val="24"/>
        </w:rPr>
        <w:t>ę</w:t>
      </w:r>
      <w:r w:rsidRPr="006F0C59">
        <w:rPr>
          <w:rFonts w:ascii="Times New Roman" w:hAnsi="Times New Roman" w:cs="Times New Roman"/>
          <w:sz w:val="24"/>
          <w:szCs w:val="24"/>
        </w:rPr>
        <w:t xml:space="preserve"> pracowników posiada istotne uzasadnienie i pozostaje w zgodności z Konstytucją Rzeczypospolitej Polskiej. Zgodnie bowiem z wyrokiem Trybunału Konstytucyjnego z dnia 10 stycznia 2005 r., o sygn. akt K 31/03, różnicowanie sytuacji podmiotów podobnych jest dopuszczalne, jeżeli zostały dochowane trzy wymogi: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lastRenderedPageBreak/>
        <w:t>1)</w:t>
      </w:r>
      <w:r w:rsidRPr="006F0C59">
        <w:rPr>
          <w:rFonts w:ascii="Times New Roman" w:hAnsi="Times New Roman" w:cs="Times New Roman"/>
          <w:sz w:val="24"/>
          <w:szCs w:val="24"/>
        </w:rPr>
        <w:tab/>
        <w:t xml:space="preserve">wprowadzone przez ustawodawcę kryteria różnicowania muszą być racjonalnie uzasadnione i muszą mieć związek z celem i treścią przepisów, w których zawarta jest dana norma;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2)</w:t>
      </w:r>
      <w:r w:rsidRPr="006F0C59">
        <w:rPr>
          <w:rFonts w:ascii="Times New Roman" w:hAnsi="Times New Roman" w:cs="Times New Roman"/>
          <w:sz w:val="24"/>
          <w:szCs w:val="24"/>
        </w:rPr>
        <w:tab/>
        <w:t xml:space="preserve">waga interesu, któremu ma służyć różnicowanie podmiotów podobnych, musi pozostawać w odpowiedniej proporcji do wagi interesów, które zostaną naruszone w wyniku różnego traktowania podmiotów podobnych;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3)</w:t>
      </w:r>
      <w:r w:rsidRPr="006F0C59">
        <w:rPr>
          <w:rFonts w:ascii="Times New Roman" w:hAnsi="Times New Roman" w:cs="Times New Roman"/>
          <w:sz w:val="24"/>
          <w:szCs w:val="24"/>
        </w:rPr>
        <w:tab/>
        <w:t xml:space="preserve">różnicowanie podmiotów podobnych musi znajdować podstawę w wartościach, zasadach lub normach konstytucyjnych. </w:t>
      </w:r>
    </w:p>
    <w:p w:rsidR="00005C06" w:rsidRPr="006F0C59" w:rsidRDefault="00005C06" w:rsidP="00005C06">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Ponadto proponuje się wyłączenie lekarzy i lekarzy dentystów odbywających specjalizację w ramach rezydentury oraz lekarzy i lekarzy dentystów odbywających staż z procedury podwyższania wynagrodzenia zasadniczego ze skutkiem od dnia 1 lipca każdego roku na mocy porozumienia albo zarządzenia. Zatem, na skutek dodania do ustawy z dnia 8 czerwca 2017 r. art. 3a, wynagrodzenie zasadnicze lekarzy i lekarzy dentystów odbywających specjalizację w ramach rezydentury oraz lekarzy i lekarzy dentystów odbywających staż będzie musiało być podwyższone do dnia 31 grudnia 2021 r. do wysokości nie niższej niż poziom najniższego wynagrodzenia zasadniczego określonego w zmienianej ustawie, przy czym wysokość wynagrodzenia zasadniczego w dalszym ciągu określana będzie w drodze rozporządzeń wydawanych na podstawie art. 15 ust. 5 oraz art. 16j ust. 5 ustawy z dnia 5 grudnia 1996 r. o zawodach lekarza i lekarza dentysty (Dz. U. z 201</w:t>
      </w:r>
      <w:r w:rsidR="00196602" w:rsidRPr="006F0C59">
        <w:rPr>
          <w:rFonts w:ascii="Times New Roman" w:hAnsi="Times New Roman" w:cs="Times New Roman"/>
          <w:sz w:val="24"/>
          <w:szCs w:val="24"/>
        </w:rPr>
        <w:t>8</w:t>
      </w:r>
      <w:r w:rsidRPr="006F0C59">
        <w:rPr>
          <w:rFonts w:ascii="Times New Roman" w:hAnsi="Times New Roman" w:cs="Times New Roman"/>
          <w:sz w:val="24"/>
          <w:szCs w:val="24"/>
        </w:rPr>
        <w:t xml:space="preserve"> r. poz. </w:t>
      </w:r>
      <w:r w:rsidR="00196602" w:rsidRPr="006F0C59">
        <w:rPr>
          <w:rFonts w:ascii="Times New Roman" w:hAnsi="Times New Roman" w:cs="Times New Roman"/>
          <w:sz w:val="24"/>
          <w:szCs w:val="24"/>
        </w:rPr>
        <w:t>617</w:t>
      </w:r>
      <w:r w:rsidRPr="006F0C59">
        <w:rPr>
          <w:rFonts w:ascii="Times New Roman" w:hAnsi="Times New Roman" w:cs="Times New Roman"/>
          <w:sz w:val="24"/>
          <w:szCs w:val="24"/>
        </w:rPr>
        <w:t>, z późn. zm.).</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Kolejną zmianą jest wprowadzenie terminu do dnia 15 czerwca każdego roku na wydanie przez kierownika podmiotu leczniczego lub podmiot tworzący (w przypadku podmiotów leczniczych działających w formie jednostek budżetowych) zarządzenia w sprawie podwyższenia wynagrodzenia.</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Obecnie ustawa z dnia 8 czerwca 2017 r. określa, na jaki dzień pracodawca jest obowiązany dokonywać podwyższenia wynagrodzeń zasadniczych pracowników objętych zakresem regulacji. Termin ten przypada na 1 lipca każdego roku. Przed tym dniem pracodawca, który w terminie do 31 maja nie zawrze porozumienia z organizacjami związkowymi lub przedstawicielem pracowników, wydać będzie musiał stosowne zarządzenie. Brak jest jednak obecnie w ustawie z dnia 8 czerwca 2017 r. określonego terminu, w którym powyższe zarządzenie powinno być </w:t>
      </w:r>
      <w:r w:rsidRPr="006F0C59">
        <w:rPr>
          <w:rFonts w:ascii="Times New Roman" w:hAnsi="Times New Roman" w:cs="Times New Roman"/>
          <w:sz w:val="24"/>
          <w:szCs w:val="24"/>
        </w:rPr>
        <w:lastRenderedPageBreak/>
        <w:t>wydane. Wydaje się zatem, że wprowadzenie terminu na wydanie zarządzenia usprawni coroczny proces realizacji ustawowego obowiązku podwyższania wynagrodzeń zasadniczych.</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Ponadto projekt zakłada zmianę w grupach zawodowych określonych w lp. 7–9 załącznika do ustawy z dnia 8 czerwca 2017 r. polegającą na przeniesieniu pielęgniarek i położnych zatrudnionych na stanowiskach wymagających wykształcenia wyższego magisterskiego na kierunku pielęgniarstwo lub położnictwo, lecz niewymagających specjalizacji</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z dotychczasowej grupy zawodowej określonej w lp. 9. do grupy określonej w lp. 8. Obecnie grupa zawodowa określona w lp. 8 załącznika do ustawy z dnia 8 czerwca 2017 r. obejmuje tylko pielęgniarki i położne ze specjalizacją (niezależnie od poziomu wykształcenia i ukończonego kierunku studiów), zatem pielęgniarki i położne, które posiadają wykształcenie wyższe magisterskie na kierunku pielęgniarstwo lub położnictwo, ale zatrudnione są na stanowiskach pracy niewymagających specjalizacji, są kwalifikowane do grupy zawodowej pielęgniarek i położnych z najniższym współczynnikiem pracy (grupa określona w lp. 9). Proponowana zmiana załącznika do ustawy z dnia 8 czerwca 2017 r. spowoduje, że współczynnik pracy 1,05 będzie obowiązywał przy ustalaniu wynagrodzenia zasadniczego pielęgniarek i położnych zatrudnionych na stanowiskach pracy, na których wymagane jest posiadanie tytułu magistra na kierunku pielęgniarstwo lub położnictwo i specjalizacji. Natomiast pielęgniarki i położne zatrudnione na stanowisku pracy</w:t>
      </w:r>
      <w:r w:rsidR="00B342C1">
        <w:rPr>
          <w:rFonts w:ascii="Times New Roman" w:hAnsi="Times New Roman" w:cs="Times New Roman"/>
          <w:sz w:val="24"/>
          <w:szCs w:val="24"/>
        </w:rPr>
        <w:t>,</w:t>
      </w:r>
      <w:r w:rsidRPr="006F0C59">
        <w:rPr>
          <w:rFonts w:ascii="Times New Roman" w:hAnsi="Times New Roman" w:cs="Times New Roman"/>
          <w:sz w:val="24"/>
          <w:szCs w:val="24"/>
        </w:rPr>
        <w:t xml:space="preserve"> na którym wymagane jest posiadanie specjalizacji, niezależnie od poziomu wykształcenia i ukończonego kierunku studiów, będą miały jednakowy współczynnik pracy jak pielęgniarki i położne bez specjalizacji, które są zatrudnione na stanowiskach</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na których wymagany jest z tytuł magistra na kierunku pielęgniarstwo lub położnictwo (współczynnik pracy w wysokości 0,73). Przedmiotowa zmiana zakłada również, że grupa zawodowa pielęgniarek i położnych określonych w lp. 9 ma obejmować pielęgniarki i położne inne niż </w:t>
      </w:r>
      <w:r w:rsidR="00A83425" w:rsidRPr="006F0C59">
        <w:rPr>
          <w:rFonts w:ascii="Times New Roman" w:hAnsi="Times New Roman" w:cs="Times New Roman"/>
          <w:sz w:val="24"/>
          <w:szCs w:val="24"/>
        </w:rPr>
        <w:t>kwalifikowane do</w:t>
      </w:r>
      <w:r w:rsidRPr="006F0C59">
        <w:rPr>
          <w:rFonts w:ascii="Times New Roman" w:hAnsi="Times New Roman" w:cs="Times New Roman"/>
          <w:sz w:val="24"/>
          <w:szCs w:val="24"/>
        </w:rPr>
        <w:t xml:space="preserve"> grup</w:t>
      </w:r>
      <w:r w:rsidR="00A83425" w:rsidRPr="006F0C59">
        <w:rPr>
          <w:rFonts w:ascii="Times New Roman" w:hAnsi="Times New Roman" w:cs="Times New Roman"/>
          <w:sz w:val="24"/>
          <w:szCs w:val="24"/>
        </w:rPr>
        <w:t>y</w:t>
      </w:r>
      <w:r w:rsidRPr="006F0C59">
        <w:rPr>
          <w:rFonts w:ascii="Times New Roman" w:hAnsi="Times New Roman" w:cs="Times New Roman"/>
          <w:sz w:val="24"/>
          <w:szCs w:val="24"/>
        </w:rPr>
        <w:t xml:space="preserve"> w lp. 7 i 8, bez specjalizacji. </w:t>
      </w:r>
    </w:p>
    <w:p w:rsidR="00005C06" w:rsidRPr="006F0C59" w:rsidRDefault="00005C06" w:rsidP="00005C06">
      <w:p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t xml:space="preserve">Projekt przewiduje ponadto </w:t>
      </w:r>
      <w:r w:rsidR="00E4794D" w:rsidRPr="006F0C59">
        <w:rPr>
          <w:rFonts w:ascii="Times New Roman" w:hAnsi="Times New Roman" w:cs="Times New Roman"/>
          <w:bCs/>
          <w:sz w:val="24"/>
          <w:szCs w:val="24"/>
        </w:rPr>
        <w:t>doprecyzowanie</w:t>
      </w:r>
      <w:r w:rsidRPr="006F0C59">
        <w:rPr>
          <w:rFonts w:ascii="Times New Roman" w:hAnsi="Times New Roman" w:cs="Times New Roman"/>
          <w:bCs/>
          <w:sz w:val="24"/>
          <w:szCs w:val="24"/>
        </w:rPr>
        <w:t xml:space="preserve"> nazewnictwa grup zawodowych pielęgniarek i położnych w załączniku do zmienianej ustawy, celem dostosowania go do aktualnych przepisów:</w:t>
      </w:r>
    </w:p>
    <w:p w:rsidR="00005C06" w:rsidRPr="006F0C59" w:rsidRDefault="00005C06" w:rsidP="00005C06">
      <w:pPr>
        <w:numPr>
          <w:ilvl w:val="0"/>
          <w:numId w:val="1"/>
        </w:num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t>rozporządzenia Ministra Nauki i Szkolnictwa Wyższego z dnia 10 lutego 2017 r. w sprawie tytułów zawodowych nadawanych absolwentom studiów, warunków wydawania oraz niezbędnych elementów dyplomów ukończenia studiów i świadectw ukończenia studiów podyplomowych</w:t>
      </w:r>
      <w:r w:rsidR="000275BA" w:rsidRPr="006F0C59">
        <w:rPr>
          <w:rFonts w:ascii="Times New Roman" w:hAnsi="Times New Roman" w:cs="Times New Roman"/>
          <w:bCs/>
          <w:sz w:val="24"/>
          <w:szCs w:val="24"/>
        </w:rPr>
        <w:t xml:space="preserve"> oraz wzoru suplementu do dyplomu </w:t>
      </w:r>
      <w:r w:rsidRPr="006F0C59">
        <w:rPr>
          <w:rFonts w:ascii="Times New Roman" w:hAnsi="Times New Roman" w:cs="Times New Roman"/>
          <w:bCs/>
          <w:sz w:val="24"/>
          <w:szCs w:val="24"/>
        </w:rPr>
        <w:t xml:space="preserve"> (Dz. U. poz. 279)</w:t>
      </w:r>
      <w:r w:rsidR="00196602" w:rsidRPr="006F0C59">
        <w:rPr>
          <w:rFonts w:ascii="Times New Roman" w:hAnsi="Times New Roman" w:cs="Times New Roman"/>
          <w:bCs/>
          <w:sz w:val="24"/>
          <w:szCs w:val="24"/>
        </w:rPr>
        <w:t>;</w:t>
      </w:r>
      <w:r w:rsidRPr="006F0C59">
        <w:rPr>
          <w:rFonts w:ascii="Times New Roman" w:hAnsi="Times New Roman" w:cs="Times New Roman"/>
          <w:bCs/>
          <w:sz w:val="24"/>
          <w:szCs w:val="24"/>
        </w:rPr>
        <w:t xml:space="preserve"> </w:t>
      </w:r>
    </w:p>
    <w:p w:rsidR="00005C06" w:rsidRPr="006F0C59" w:rsidRDefault="00216346" w:rsidP="00005C06">
      <w:pPr>
        <w:numPr>
          <w:ilvl w:val="0"/>
          <w:numId w:val="1"/>
        </w:num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lastRenderedPageBreak/>
        <w:t xml:space="preserve">art. 67 ust. 2 </w:t>
      </w:r>
      <w:r w:rsidR="00005C06" w:rsidRPr="006F0C59">
        <w:rPr>
          <w:rFonts w:ascii="Times New Roman" w:hAnsi="Times New Roman" w:cs="Times New Roman"/>
          <w:bCs/>
          <w:sz w:val="24"/>
          <w:szCs w:val="24"/>
        </w:rPr>
        <w:t>ustawy z dnia  15 lipca 2011 r. o zawodach pielęgniarki i położnej (Dz. U. z 2018 r. poz. 123, z późn. zm.).</w:t>
      </w:r>
    </w:p>
    <w:p w:rsidR="002850FD" w:rsidRPr="006F0C59" w:rsidRDefault="002850FD"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Projekt ustawy zawiera przepisy dostosowujące, zgodnie z którymi wprowadza się </w:t>
      </w:r>
      <w:r w:rsidR="00DA6A8A" w:rsidRPr="006F0C59">
        <w:rPr>
          <w:rFonts w:ascii="Times New Roman" w:hAnsi="Times New Roman" w:cs="Times New Roman"/>
          <w:sz w:val="24"/>
          <w:szCs w:val="24"/>
        </w:rPr>
        <w:t>odrębne</w:t>
      </w:r>
      <w:r w:rsidRPr="006F0C59">
        <w:rPr>
          <w:rFonts w:ascii="Times New Roman" w:hAnsi="Times New Roman" w:cs="Times New Roman"/>
          <w:sz w:val="24"/>
          <w:szCs w:val="24"/>
        </w:rPr>
        <w:t xml:space="preserve"> terminy na zawarcie pierwszego porozumienia </w:t>
      </w:r>
      <w:r w:rsidR="00DA6A8A" w:rsidRPr="006F0C59">
        <w:rPr>
          <w:rFonts w:ascii="Times New Roman" w:hAnsi="Times New Roman" w:cs="Times New Roman"/>
          <w:sz w:val="24"/>
          <w:szCs w:val="24"/>
        </w:rPr>
        <w:t xml:space="preserve">(lub zarządzenia, jeśli porozumienie nie zostanie zawarte) </w:t>
      </w:r>
      <w:r w:rsidRPr="006F0C59">
        <w:rPr>
          <w:rFonts w:ascii="Times New Roman" w:hAnsi="Times New Roman" w:cs="Times New Roman"/>
          <w:sz w:val="24"/>
          <w:szCs w:val="24"/>
        </w:rPr>
        <w:t>o sposobie podwyższania</w:t>
      </w:r>
      <w:r w:rsidR="00DA6A8A" w:rsidRPr="006F0C59">
        <w:rPr>
          <w:rFonts w:ascii="Times New Roman" w:hAnsi="Times New Roman" w:cs="Times New Roman"/>
          <w:sz w:val="24"/>
          <w:szCs w:val="24"/>
        </w:rPr>
        <w:t xml:space="preserve"> na dzień 1 lipca 2018 r. </w:t>
      </w:r>
      <w:r w:rsidRPr="006F0C59">
        <w:rPr>
          <w:rFonts w:ascii="Times New Roman" w:hAnsi="Times New Roman" w:cs="Times New Roman"/>
          <w:sz w:val="24"/>
          <w:szCs w:val="24"/>
        </w:rPr>
        <w:t>wynagrodzeń zasadniczych w podmiocie leczniczym</w:t>
      </w:r>
      <w:r w:rsidR="00DA6A8A" w:rsidRPr="006F0C59">
        <w:rPr>
          <w:rFonts w:ascii="Times New Roman" w:hAnsi="Times New Roman" w:cs="Times New Roman"/>
          <w:sz w:val="24"/>
          <w:szCs w:val="24"/>
        </w:rPr>
        <w:t>,</w:t>
      </w:r>
      <w:r w:rsidRPr="006F0C59">
        <w:rPr>
          <w:rFonts w:ascii="Times New Roman" w:hAnsi="Times New Roman" w:cs="Times New Roman"/>
          <w:sz w:val="24"/>
          <w:szCs w:val="24"/>
        </w:rPr>
        <w:t xml:space="preserve"> </w:t>
      </w:r>
      <w:r w:rsidR="00DA6A8A" w:rsidRPr="006F0C59">
        <w:rPr>
          <w:rFonts w:ascii="Times New Roman" w:hAnsi="Times New Roman" w:cs="Times New Roman"/>
          <w:sz w:val="24"/>
          <w:szCs w:val="24"/>
        </w:rPr>
        <w:t>w zakresie realizacji</w:t>
      </w:r>
      <w:r w:rsidRPr="006F0C59">
        <w:rPr>
          <w:rFonts w:ascii="Times New Roman" w:hAnsi="Times New Roman" w:cs="Times New Roman"/>
          <w:sz w:val="24"/>
          <w:szCs w:val="24"/>
        </w:rPr>
        <w:t xml:space="preserve"> zmian wprowadzanych niniejszą ustawą, tj. </w:t>
      </w:r>
      <w:r w:rsidR="00DA6A8A" w:rsidRPr="006F0C59">
        <w:rPr>
          <w:rFonts w:ascii="Times New Roman" w:hAnsi="Times New Roman" w:cs="Times New Roman"/>
          <w:sz w:val="24"/>
          <w:szCs w:val="24"/>
        </w:rPr>
        <w:t>uregulowania sposobu ustalania</w:t>
      </w:r>
      <w:r w:rsidRPr="006F0C59">
        <w:rPr>
          <w:rFonts w:ascii="Times New Roman" w:hAnsi="Times New Roman" w:cs="Times New Roman"/>
          <w:sz w:val="24"/>
          <w:szCs w:val="24"/>
        </w:rPr>
        <w:t xml:space="preserve"> najniższeg</w:t>
      </w:r>
      <w:r w:rsidR="00DA6A8A" w:rsidRPr="006F0C59">
        <w:rPr>
          <w:rFonts w:ascii="Times New Roman" w:hAnsi="Times New Roman" w:cs="Times New Roman"/>
          <w:sz w:val="24"/>
          <w:szCs w:val="24"/>
        </w:rPr>
        <w:t>o wynagrodzenia zasadniczego</w:t>
      </w:r>
      <w:r w:rsidRPr="006F0C59">
        <w:rPr>
          <w:rFonts w:ascii="Times New Roman" w:hAnsi="Times New Roman" w:cs="Times New Roman"/>
          <w:sz w:val="24"/>
          <w:szCs w:val="24"/>
        </w:rPr>
        <w:t xml:space="preserve"> pracowników działalności podstawowej, innych niż pracownicy wykonujący zawody medyczne</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oraz zmiany współczynnika pracy pielęgniarek i położnych zatrudnionych na stanowiskach wymagających tytułu magistra na kierunku pielęgniarstwo lub położnictwo, jednocześnie niewymagających</w:t>
      </w:r>
      <w:r w:rsidR="00DA6A8A" w:rsidRPr="006F0C59">
        <w:rPr>
          <w:rFonts w:ascii="Times New Roman" w:hAnsi="Times New Roman" w:cs="Times New Roman"/>
          <w:sz w:val="24"/>
          <w:szCs w:val="24"/>
        </w:rPr>
        <w:t xml:space="preserve"> posiadania specjalizacji.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Proponowana nowelizacja ustawy z dnia 8 czerwca 2017 r. nie będzie skutkowała przekazaniem podmiotom leczniczym w 2018</w:t>
      </w:r>
      <w:r w:rsidR="006E035E" w:rsidRPr="006F0C59">
        <w:rPr>
          <w:rFonts w:ascii="Times New Roman" w:hAnsi="Times New Roman" w:cs="Times New Roman"/>
          <w:sz w:val="24"/>
          <w:szCs w:val="24"/>
        </w:rPr>
        <w:t xml:space="preserve"> r.</w:t>
      </w:r>
      <w:r w:rsidRPr="006F0C59">
        <w:rPr>
          <w:rFonts w:ascii="Times New Roman" w:hAnsi="Times New Roman" w:cs="Times New Roman"/>
          <w:sz w:val="24"/>
          <w:szCs w:val="24"/>
        </w:rPr>
        <w:t xml:space="preserve"> dodatkowych, ponad obecnie planowane, środków finansowych z budżetu państwa, jak również z Narodowego Funduszu Zdrowia. W przypadku pracowników objętych projektowaną zmianą ustawy, których pracodawcy (podmioty lecznicze) otrzymują środki finansowe z Narodowego Funduszu Zdrowia, koszty podwyżek powinny zostać sfinansowane przez pracodawców ze środków uzyskanych w ramach wzrastających przychodów i odpowiednio kosztów Narodowego Funduszu Zdrowia.  </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Projekt ustawy nie zawiera przepisów technicznych i w związku z tym nie podlega procedurze notyfikacji w rozumieniu przepisów rozporządzenia Rady Ministrów z dnia 23 grudnia 2002 r. w sprawie sposobu funkcjonowania krajowego systemu notyfikacji norm i aktów prawnych (Dz. U. poz. 2039 oraz z 2004 r. poz. 597).</w:t>
      </w:r>
    </w:p>
    <w:p w:rsidR="00F63B3E"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Projektowana regulacja nie jest objęta prawem Unii Europejskiej.</w:t>
      </w:r>
    </w:p>
    <w:p w:rsidR="006F0C59" w:rsidRPr="0092267F" w:rsidRDefault="006F0C59" w:rsidP="006F0C59">
      <w:pPr>
        <w:spacing w:after="0" w:line="360" w:lineRule="auto"/>
        <w:jc w:val="both"/>
        <w:rPr>
          <w:rFonts w:ascii="Times New Roman" w:hAnsi="Times New Roman"/>
          <w:color w:val="000000"/>
          <w:sz w:val="24"/>
          <w:szCs w:val="24"/>
        </w:rPr>
      </w:pPr>
      <w:r w:rsidRPr="0092267F">
        <w:rPr>
          <w:rFonts w:ascii="Times New Roman" w:hAnsi="Times New Roman"/>
          <w:color w:val="000000"/>
          <w:sz w:val="24"/>
          <w:szCs w:val="24"/>
        </w:rPr>
        <w:t xml:space="preserve">Projektowana ustawa wejdzie w życie po upływie 14 dni od dnia ogłoszenia. Projekt ustawy zawiera przepisy dostosowujące, zgodnie z którymi wprowadza się odrębne terminy na zawarcie pierwszego porozumienia (lub zarządzenia, jeśli porozumienie nie zostanie zawarte) o sposobie podwyższania, na dzień 1 lipca 2018 r., wynagrodzeń zasadniczych w podmiocie leczniczym, w zakresie realizacji zmian wprowadzanych niniejszą ustawą. </w:t>
      </w:r>
    </w:p>
    <w:p w:rsidR="00B342C1" w:rsidRPr="006F0C59" w:rsidRDefault="006F0C59" w:rsidP="00F63B3E">
      <w:pPr>
        <w:spacing w:line="360" w:lineRule="auto"/>
        <w:jc w:val="both"/>
        <w:rPr>
          <w:rFonts w:ascii="Times New Roman" w:hAnsi="Times New Roman" w:cs="Times New Roman"/>
          <w:sz w:val="24"/>
          <w:szCs w:val="24"/>
        </w:rPr>
      </w:pPr>
      <w:r w:rsidRPr="0092267F">
        <w:rPr>
          <w:rFonts w:ascii="Times New Roman" w:hAnsi="Times New Roman"/>
          <w:color w:val="000000"/>
          <w:sz w:val="24"/>
          <w:szCs w:val="24"/>
        </w:rPr>
        <w:lastRenderedPageBreak/>
        <w:t>Zgodnie z przepisami ustawy aktualizacja obowiązku dostosowania poziomu wynagrodzeń w podmiotach leczniczych do najniższego wynagrodzenia zasadniczego następować będzie corocznie na dzień 1 lipca -–do dnia 31 grudnia 2021 r., z uwagi na systematyczny wzrost kwoty przeciętnego wynagrodzenia w gospodarce narodowej w roku poprzedzającym ustalenie najniższego wynagrodzenia</w:t>
      </w:r>
      <w:r w:rsidR="0091176C">
        <w:rPr>
          <w:rFonts w:ascii="Times New Roman" w:hAnsi="Times New Roman"/>
          <w:color w:val="000000"/>
          <w:sz w:val="24"/>
          <w:szCs w:val="24"/>
        </w:rPr>
        <w:t>.</w:t>
      </w:r>
    </w:p>
    <w:p w:rsidR="00F63B3E"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Projekt nie wymagał przedstawienia właściwym organom i instytucjom Unii Europejskiej, w tym Europejskiemu Bankowi Centralnemu, w celu uzyskania opinii, dokonania powiadomienia, konsultacji albo uzgodnienia. </w:t>
      </w:r>
    </w:p>
    <w:p w:rsidR="006F0C59" w:rsidRPr="0091176C" w:rsidRDefault="006F0C59" w:rsidP="00F63B3E">
      <w:pPr>
        <w:spacing w:line="360" w:lineRule="auto"/>
        <w:jc w:val="both"/>
        <w:rPr>
          <w:rFonts w:ascii="Times New Roman" w:hAnsi="Times New Roman" w:cs="Times New Roman"/>
          <w:sz w:val="24"/>
          <w:szCs w:val="24"/>
        </w:rPr>
      </w:pPr>
      <w:r w:rsidRPr="0091176C">
        <w:rPr>
          <w:rFonts w:ascii="Times New Roman" w:hAnsi="Times New Roman"/>
          <w:bCs/>
          <w:color w:val="000000"/>
          <w:spacing w:val="-2"/>
          <w:sz w:val="24"/>
          <w:szCs w:val="24"/>
        </w:rPr>
        <w:t>Wejście w życie przedmiotowej regulacji spowoduje konieczność podwyższenia wynagrodzeń tej grupy pracowników objętych nowelizacją, których wynagrodzenia są niższe niż najniższe wynagrodzenia określone w ustawie. Sytuacja mikro, małych i średnich przedsiębiorców nie będzie przy tym inna niż pozostałych podmiotów leczniczych.</w:t>
      </w:r>
    </w:p>
    <w:p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Nie istnieją alternatywne środki w stosunku do projektowanej ustawy umożliwiające osiągniecie zamierzonego celu. </w:t>
      </w:r>
    </w:p>
    <w:p w:rsidR="00F63B3E" w:rsidRPr="006F0C59" w:rsidRDefault="00F63B3E" w:rsidP="00F63B3E">
      <w:pPr>
        <w:spacing w:line="360" w:lineRule="auto"/>
        <w:jc w:val="both"/>
        <w:rPr>
          <w:rFonts w:ascii="Times New Roman" w:hAnsi="Times New Roman" w:cs="Times New Roman"/>
          <w:sz w:val="24"/>
          <w:szCs w:val="24"/>
        </w:rPr>
      </w:pPr>
    </w:p>
    <w:p w:rsidR="004811FC" w:rsidRPr="006F0C59" w:rsidRDefault="003A5951">
      <w:pPr>
        <w:rPr>
          <w:rFonts w:ascii="Times New Roman" w:hAnsi="Times New Roman" w:cs="Times New Roman"/>
          <w:sz w:val="24"/>
          <w:szCs w:val="24"/>
        </w:rPr>
      </w:pPr>
    </w:p>
    <w:sectPr w:rsidR="004811FC" w:rsidRPr="006F0C59" w:rsidSect="001830E5">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51" w:rsidRDefault="003A5951" w:rsidP="003E727E">
      <w:pPr>
        <w:spacing w:after="0" w:line="240" w:lineRule="auto"/>
      </w:pPr>
      <w:r>
        <w:separator/>
      </w:r>
    </w:p>
  </w:endnote>
  <w:endnote w:type="continuationSeparator" w:id="1">
    <w:p w:rsidR="003A5951" w:rsidRDefault="003A5951" w:rsidP="003E7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94480"/>
      <w:docPartObj>
        <w:docPartGallery w:val="Page Numbers (Bottom of Page)"/>
        <w:docPartUnique/>
      </w:docPartObj>
    </w:sdtPr>
    <w:sdtContent>
      <w:p w:rsidR="00D5033E" w:rsidRDefault="00FC5176">
        <w:pPr>
          <w:pStyle w:val="Stopka"/>
          <w:jc w:val="center"/>
        </w:pPr>
        <w:r>
          <w:fldChar w:fldCharType="begin"/>
        </w:r>
        <w:r w:rsidR="00D5033E">
          <w:instrText>PAGE   \* MERGEFORMAT</w:instrText>
        </w:r>
        <w:r>
          <w:fldChar w:fldCharType="separate"/>
        </w:r>
        <w:r w:rsidR="00AE4D47">
          <w:rPr>
            <w:noProof/>
          </w:rPr>
          <w:t>7</w:t>
        </w:r>
        <w:r>
          <w:fldChar w:fldCharType="end"/>
        </w:r>
      </w:p>
    </w:sdtContent>
  </w:sdt>
  <w:p w:rsidR="00D5033E" w:rsidRDefault="00D503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51" w:rsidRDefault="003A5951" w:rsidP="003E727E">
      <w:pPr>
        <w:spacing w:after="0" w:line="240" w:lineRule="auto"/>
      </w:pPr>
      <w:r>
        <w:separator/>
      </w:r>
    </w:p>
  </w:footnote>
  <w:footnote w:type="continuationSeparator" w:id="1">
    <w:p w:rsidR="003A5951" w:rsidRDefault="003A5951" w:rsidP="003E7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430E"/>
    <w:multiLevelType w:val="hybridMultilevel"/>
    <w:tmpl w:val="D7D6B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F63B3E"/>
    <w:rsid w:val="00005C06"/>
    <w:rsid w:val="00024E2A"/>
    <w:rsid w:val="000275BA"/>
    <w:rsid w:val="00067785"/>
    <w:rsid w:val="0007208F"/>
    <w:rsid w:val="000E2BA9"/>
    <w:rsid w:val="00150899"/>
    <w:rsid w:val="00161D7E"/>
    <w:rsid w:val="00182586"/>
    <w:rsid w:val="00196602"/>
    <w:rsid w:val="00216346"/>
    <w:rsid w:val="002850FD"/>
    <w:rsid w:val="002D5DAB"/>
    <w:rsid w:val="00363FB4"/>
    <w:rsid w:val="003A5951"/>
    <w:rsid w:val="003E727E"/>
    <w:rsid w:val="003F1933"/>
    <w:rsid w:val="004C1501"/>
    <w:rsid w:val="00585E0A"/>
    <w:rsid w:val="005A5252"/>
    <w:rsid w:val="005C369F"/>
    <w:rsid w:val="006A1774"/>
    <w:rsid w:val="006E035E"/>
    <w:rsid w:val="006F0C59"/>
    <w:rsid w:val="007561BE"/>
    <w:rsid w:val="007D3536"/>
    <w:rsid w:val="008B3B8C"/>
    <w:rsid w:val="008E7C59"/>
    <w:rsid w:val="00901D28"/>
    <w:rsid w:val="0091176C"/>
    <w:rsid w:val="00915389"/>
    <w:rsid w:val="0092267F"/>
    <w:rsid w:val="00924D84"/>
    <w:rsid w:val="00946C31"/>
    <w:rsid w:val="009B7720"/>
    <w:rsid w:val="009F0481"/>
    <w:rsid w:val="00A21151"/>
    <w:rsid w:val="00A50AD0"/>
    <w:rsid w:val="00A81283"/>
    <w:rsid w:val="00A83425"/>
    <w:rsid w:val="00AE4D47"/>
    <w:rsid w:val="00AF098A"/>
    <w:rsid w:val="00B342C1"/>
    <w:rsid w:val="00B6687A"/>
    <w:rsid w:val="00BD70D1"/>
    <w:rsid w:val="00C07F94"/>
    <w:rsid w:val="00CA4D35"/>
    <w:rsid w:val="00CB4611"/>
    <w:rsid w:val="00CF5C0B"/>
    <w:rsid w:val="00D1710F"/>
    <w:rsid w:val="00D5033E"/>
    <w:rsid w:val="00D66122"/>
    <w:rsid w:val="00D73565"/>
    <w:rsid w:val="00DA6A8A"/>
    <w:rsid w:val="00DC1DB9"/>
    <w:rsid w:val="00DF0F9E"/>
    <w:rsid w:val="00DF1802"/>
    <w:rsid w:val="00E20DD7"/>
    <w:rsid w:val="00E4794D"/>
    <w:rsid w:val="00E63475"/>
    <w:rsid w:val="00F43DDF"/>
    <w:rsid w:val="00F63B3E"/>
    <w:rsid w:val="00F84EE6"/>
    <w:rsid w:val="00FC4DB1"/>
    <w:rsid w:val="00FC5176"/>
    <w:rsid w:val="00FE7A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B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smamz">
    <w:name w:val="pisma_mz"/>
    <w:basedOn w:val="Normalny"/>
    <w:link w:val="pismamzZnak"/>
    <w:qFormat/>
    <w:rsid w:val="00F63B3E"/>
    <w:pPr>
      <w:spacing w:after="0" w:line="360" w:lineRule="auto"/>
      <w:contextualSpacing/>
      <w:jc w:val="both"/>
    </w:pPr>
    <w:rPr>
      <w:rFonts w:ascii="Arial" w:eastAsia="Calibri" w:hAnsi="Arial" w:cs="Times New Roman"/>
    </w:rPr>
  </w:style>
  <w:style w:type="character" w:customStyle="1" w:styleId="pismamzZnak">
    <w:name w:val="pisma_mz Znak"/>
    <w:link w:val="pismamz"/>
    <w:rsid w:val="00F63B3E"/>
    <w:rPr>
      <w:rFonts w:ascii="Arial" w:eastAsia="Calibri" w:hAnsi="Arial" w:cs="Times New Roman"/>
    </w:rPr>
  </w:style>
  <w:style w:type="paragraph" w:styleId="Tekstprzypisudolnego">
    <w:name w:val="footnote text"/>
    <w:basedOn w:val="Normalny"/>
    <w:link w:val="TekstprzypisudolnegoZnak"/>
    <w:uiPriority w:val="99"/>
    <w:semiHidden/>
    <w:unhideWhenUsed/>
    <w:rsid w:val="003E72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727E"/>
    <w:rPr>
      <w:sz w:val="20"/>
      <w:szCs w:val="20"/>
    </w:rPr>
  </w:style>
  <w:style w:type="character" w:styleId="Odwoanieprzypisudolnego">
    <w:name w:val="footnote reference"/>
    <w:basedOn w:val="Domylnaczcionkaakapitu"/>
    <w:uiPriority w:val="99"/>
    <w:semiHidden/>
    <w:unhideWhenUsed/>
    <w:rsid w:val="003E727E"/>
    <w:rPr>
      <w:vertAlign w:val="superscript"/>
    </w:rPr>
  </w:style>
  <w:style w:type="character" w:styleId="Odwoaniedokomentarza">
    <w:name w:val="annotation reference"/>
    <w:basedOn w:val="Domylnaczcionkaakapitu"/>
    <w:uiPriority w:val="99"/>
    <w:semiHidden/>
    <w:unhideWhenUsed/>
    <w:rsid w:val="006E035E"/>
    <w:rPr>
      <w:sz w:val="16"/>
      <w:szCs w:val="16"/>
    </w:rPr>
  </w:style>
  <w:style w:type="paragraph" w:styleId="Tekstkomentarza">
    <w:name w:val="annotation text"/>
    <w:basedOn w:val="Normalny"/>
    <w:link w:val="TekstkomentarzaZnak"/>
    <w:uiPriority w:val="99"/>
    <w:semiHidden/>
    <w:unhideWhenUsed/>
    <w:rsid w:val="006E03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35E"/>
    <w:rPr>
      <w:sz w:val="20"/>
      <w:szCs w:val="20"/>
    </w:rPr>
  </w:style>
  <w:style w:type="paragraph" w:styleId="Tematkomentarza">
    <w:name w:val="annotation subject"/>
    <w:basedOn w:val="Tekstkomentarza"/>
    <w:next w:val="Tekstkomentarza"/>
    <w:link w:val="TematkomentarzaZnak"/>
    <w:uiPriority w:val="99"/>
    <w:semiHidden/>
    <w:unhideWhenUsed/>
    <w:rsid w:val="006E035E"/>
    <w:rPr>
      <w:b/>
      <w:bCs/>
    </w:rPr>
  </w:style>
  <w:style w:type="character" w:customStyle="1" w:styleId="TematkomentarzaZnak">
    <w:name w:val="Temat komentarza Znak"/>
    <w:basedOn w:val="TekstkomentarzaZnak"/>
    <w:link w:val="Tematkomentarza"/>
    <w:uiPriority w:val="99"/>
    <w:semiHidden/>
    <w:rsid w:val="006E035E"/>
    <w:rPr>
      <w:b/>
      <w:bCs/>
      <w:sz w:val="20"/>
      <w:szCs w:val="20"/>
    </w:rPr>
  </w:style>
  <w:style w:type="paragraph" w:styleId="Tekstdymka">
    <w:name w:val="Balloon Text"/>
    <w:basedOn w:val="Normalny"/>
    <w:link w:val="TekstdymkaZnak"/>
    <w:uiPriority w:val="99"/>
    <w:semiHidden/>
    <w:unhideWhenUsed/>
    <w:rsid w:val="006E03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35E"/>
    <w:rPr>
      <w:rFonts w:ascii="Segoe UI" w:hAnsi="Segoe UI" w:cs="Segoe UI"/>
      <w:sz w:val="18"/>
      <w:szCs w:val="18"/>
    </w:rPr>
  </w:style>
  <w:style w:type="paragraph" w:styleId="Nagwek">
    <w:name w:val="header"/>
    <w:basedOn w:val="Normalny"/>
    <w:link w:val="NagwekZnak"/>
    <w:uiPriority w:val="99"/>
    <w:unhideWhenUsed/>
    <w:rsid w:val="00D50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33E"/>
  </w:style>
  <w:style w:type="paragraph" w:styleId="Stopka">
    <w:name w:val="footer"/>
    <w:basedOn w:val="Normalny"/>
    <w:link w:val="StopkaZnak"/>
    <w:uiPriority w:val="99"/>
    <w:unhideWhenUsed/>
    <w:rsid w:val="00D50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3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433A-F664-4AB6-87FC-0F9381FA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13040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apc</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Kołakowska Agnieszka</dc:creator>
  <cp:lastModifiedBy>apc</cp:lastModifiedBy>
  <cp:revision>2</cp:revision>
  <cp:lastPrinted>2018-05-23T12:50:00Z</cp:lastPrinted>
  <dcterms:created xsi:type="dcterms:W3CDTF">2018-06-14T08:48:00Z</dcterms:created>
  <dcterms:modified xsi:type="dcterms:W3CDTF">2018-06-14T08:48:00Z</dcterms:modified>
</cp:coreProperties>
</file>