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2755C" w:rsidTr="00290E02">
        <w:trPr>
          <w:gridAfter w:val="1"/>
          <w:wAfter w:w="10" w:type="dxa"/>
          <w:trHeight w:val="1611"/>
          <w:jc w:val="center"/>
        </w:trPr>
        <w:tc>
          <w:tcPr>
            <w:tcW w:w="6631" w:type="dxa"/>
            <w:gridSpan w:val="17"/>
            <w:tcBorders>
              <w:top w:val="single" w:sz="4" w:space="0" w:color="auto"/>
              <w:left w:val="single" w:sz="4" w:space="0" w:color="auto"/>
              <w:bottom w:val="single" w:sz="4" w:space="0" w:color="auto"/>
              <w:right w:val="single" w:sz="4" w:space="0" w:color="auto"/>
            </w:tcBorders>
          </w:tcPr>
          <w:p w:rsidR="0092755C" w:rsidRPr="00FD3E92" w:rsidRDefault="0092755C" w:rsidP="00FD3E92">
            <w:pPr>
              <w:spacing w:before="120" w:after="0" w:line="240" w:lineRule="auto"/>
              <w:rPr>
                <w:rFonts w:ascii="Times New Roman" w:eastAsia="Calibri" w:hAnsi="Times New Roman" w:cs="Times New Roman"/>
                <w:sz w:val="21"/>
                <w:szCs w:val="21"/>
              </w:rPr>
            </w:pPr>
            <w:bookmarkStart w:id="0" w:name="t1"/>
            <w:bookmarkStart w:id="1" w:name="_GoBack"/>
            <w:bookmarkEnd w:id="1"/>
            <w:r w:rsidRPr="00FD3E92">
              <w:rPr>
                <w:rFonts w:ascii="Times New Roman" w:eastAsia="Calibri" w:hAnsi="Times New Roman" w:cs="Times New Roman"/>
                <w:b/>
                <w:sz w:val="21"/>
                <w:szCs w:val="21"/>
              </w:rPr>
              <w:t>Nazwa projektu</w:t>
            </w:r>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Ustawa o zmianie ustawy o dowodach osobistych, ustawy o ewidencji ludności oraz ustawy – Prawo o aktach stanu cywilnego</w:t>
            </w:r>
          </w:p>
          <w:p w:rsidR="0092755C" w:rsidRPr="00FD3E92" w:rsidRDefault="0092755C" w:rsidP="00FD3E92">
            <w:pPr>
              <w:spacing w:before="120"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Ministerstwo wiodące i ministerstwa współpracujące</w:t>
            </w:r>
            <w:bookmarkEnd w:id="0"/>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Kancelaria Prezesa Rady Ministrów</w:t>
            </w:r>
          </w:p>
          <w:p w:rsidR="0092755C" w:rsidRPr="00FD3E92" w:rsidRDefault="0092755C" w:rsidP="00FD3E92">
            <w:pPr>
              <w:spacing w:after="0" w:line="240" w:lineRule="auto"/>
              <w:rPr>
                <w:rFonts w:ascii="Times New Roman" w:eastAsia="Calibri" w:hAnsi="Times New Roman" w:cs="Times New Roman"/>
                <w:sz w:val="21"/>
                <w:szCs w:val="21"/>
              </w:rPr>
            </w:pPr>
          </w:p>
          <w:p w:rsidR="0092755C" w:rsidRPr="00FD3E92" w:rsidRDefault="0092755C" w:rsidP="00FD3E92">
            <w:pPr>
              <w:spacing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 xml:space="preserve">Osoba odpowiedzialna za projekt w randze Ministra, Sekretarza Stanu lub Podsekretarza Stanu </w:t>
            </w:r>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Marek Zagórski, Sekretarz Stanu w Kancelarii Prezesa Rady Ministrów</w:t>
            </w:r>
          </w:p>
          <w:p w:rsidR="0092755C" w:rsidRPr="00FD3E92" w:rsidRDefault="0092755C" w:rsidP="00FD3E92">
            <w:pPr>
              <w:spacing w:before="120"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Kontakt do opiekuna merytorycznego projektu</w:t>
            </w:r>
          </w:p>
          <w:p w:rsidR="0092755C" w:rsidRDefault="0092755C" w:rsidP="00FD3E92">
            <w:pPr>
              <w:spacing w:after="0" w:line="240" w:lineRule="auto"/>
              <w:rPr>
                <w:rFonts w:ascii="Times New Roman" w:eastAsia="Calibri" w:hAnsi="Times New Roman" w:cs="Times New Roman"/>
              </w:rPr>
            </w:pPr>
            <w:r w:rsidRPr="00FD3E92">
              <w:rPr>
                <w:rFonts w:ascii="Times New Roman" w:eastAsia="Calibri" w:hAnsi="Times New Roman" w:cs="Times New Roman"/>
                <w:sz w:val="21"/>
                <w:szCs w:val="21"/>
              </w:rPr>
              <w:t xml:space="preserve">Katarzyna Kopytowska, Zastępca Dyrektora Departamentu Zarządzania Systemami, </w:t>
            </w:r>
            <w:r w:rsidRPr="00FD3E92">
              <w:rPr>
                <w:rFonts w:ascii="Times New Roman" w:eastAsia="Calibri" w:hAnsi="Times New Roman" w:cs="Times New Roman"/>
                <w:sz w:val="21"/>
                <w:szCs w:val="21"/>
                <w:lang w:eastAsia="pl-PL"/>
              </w:rPr>
              <w:t xml:space="preserve">adres email: </w:t>
            </w:r>
            <w:r w:rsidRPr="00FD3E92">
              <w:rPr>
                <w:rFonts w:ascii="Times New Roman" w:eastAsia="Calibri" w:hAnsi="Times New Roman" w:cs="Times New Roman"/>
                <w:sz w:val="21"/>
                <w:szCs w:val="21"/>
                <w:u w:val="single"/>
                <w:lang w:eastAsia="pl-PL"/>
              </w:rPr>
              <w:t>katarzyna.kopytowska@mc.gov.pl</w:t>
            </w:r>
            <w:r w:rsidRPr="00FD3E92">
              <w:rPr>
                <w:rFonts w:ascii="Times New Roman" w:eastAsia="Calibri" w:hAnsi="Times New Roman" w:cs="Times New Roman"/>
                <w:sz w:val="21"/>
                <w:szCs w:val="21"/>
                <w:lang w:eastAsia="pl-PL"/>
              </w:rPr>
              <w:t xml:space="preserve"> tel. 22 245 54 12</w:t>
            </w:r>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Data sporządzenia</w:t>
            </w:r>
            <w:r>
              <w:rPr>
                <w:rFonts w:ascii="Times New Roman" w:eastAsia="Calibri" w:hAnsi="Times New Roman" w:cs="Times New Roman"/>
                <w:b/>
                <w:sz w:val="21"/>
                <w:szCs w:val="21"/>
              </w:rPr>
              <w:br/>
            </w:r>
            <w:r w:rsidR="00FD3E92">
              <w:rPr>
                <w:rFonts w:ascii="Times New Roman" w:eastAsia="Calibri" w:hAnsi="Times New Roman" w:cs="Times New Roman"/>
                <w:sz w:val="21"/>
                <w:szCs w:val="21"/>
              </w:rPr>
              <w:t>02</w:t>
            </w:r>
            <w:r>
              <w:rPr>
                <w:rFonts w:ascii="Times New Roman" w:eastAsia="Calibri" w:hAnsi="Times New Roman" w:cs="Times New Roman"/>
                <w:sz w:val="21"/>
                <w:szCs w:val="21"/>
              </w:rPr>
              <w:t>.04.2021 r.</w:t>
            </w:r>
          </w:p>
          <w:p w:rsidR="0092755C" w:rsidRDefault="0092755C" w:rsidP="00290E02">
            <w:pPr>
              <w:spacing w:after="0" w:line="240" w:lineRule="auto"/>
              <w:rPr>
                <w:rFonts w:ascii="Times New Roman" w:eastAsia="Calibri" w:hAnsi="Times New Roman" w:cs="Times New Roman"/>
                <w:b/>
              </w:rPr>
            </w:pPr>
          </w:p>
          <w:p w:rsidR="0092755C" w:rsidRDefault="0092755C" w:rsidP="00290E02">
            <w:pPr>
              <w:spacing w:after="0" w:line="240" w:lineRule="auto"/>
              <w:rPr>
                <w:rFonts w:ascii="Times New Roman" w:eastAsia="Calibri" w:hAnsi="Times New Roman" w:cs="Times New Roman"/>
                <w:b/>
              </w:rPr>
            </w:pPr>
            <w:r>
              <w:rPr>
                <w:rFonts w:ascii="Times New Roman" w:eastAsia="Calibri" w:hAnsi="Times New Roman" w:cs="Times New Roman"/>
                <w:b/>
              </w:rPr>
              <w:t xml:space="preserve">Źródło: </w:t>
            </w:r>
            <w:bookmarkStart w:id="2" w:name="Lista1"/>
            <w:bookmarkEnd w:id="2"/>
          </w:p>
          <w:p w:rsidR="0092755C" w:rsidRDefault="0092755C" w:rsidP="00290E02">
            <w:pPr>
              <w:tabs>
                <w:tab w:val="left" w:pos="870"/>
              </w:tabs>
              <w:spacing w:after="0" w:line="240" w:lineRule="auto"/>
              <w:rPr>
                <w:rFonts w:ascii="Times New Roman" w:eastAsia="Calibri" w:hAnsi="Times New Roman" w:cs="Times New Roman"/>
              </w:rPr>
            </w:pPr>
            <w:r>
              <w:rPr>
                <w:rFonts w:ascii="Times New Roman" w:eastAsia="Calibri" w:hAnsi="Times New Roman" w:cs="Times New Roman"/>
              </w:rPr>
              <w:t>inne</w:t>
            </w:r>
          </w:p>
          <w:p w:rsidR="0092755C" w:rsidRDefault="0092755C" w:rsidP="00290E02">
            <w:pPr>
              <w:spacing w:before="120" w:after="0" w:line="240" w:lineRule="auto"/>
              <w:rPr>
                <w:rFonts w:ascii="Times New Roman" w:eastAsia="Calibri" w:hAnsi="Times New Roman" w:cs="Times New Roman"/>
                <w:b/>
              </w:rPr>
            </w:pPr>
            <w:r>
              <w:rPr>
                <w:rFonts w:ascii="Times New Roman" w:eastAsia="Calibri" w:hAnsi="Times New Roman" w:cs="Times New Roman"/>
                <w:b/>
              </w:rPr>
              <w:t>Nr w wykazie prac ………………….</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p w:rsidR="0092755C" w:rsidRDefault="0092755C" w:rsidP="00290E02">
            <w:pPr>
              <w:spacing w:after="0" w:line="240" w:lineRule="auto"/>
              <w:rPr>
                <w:rFonts w:ascii="Times New Roman" w:eastAsia="Calibri" w:hAnsi="Times New Roman" w:cs="Times New Roman"/>
                <w:sz w:val="28"/>
                <w:szCs w:val="28"/>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290E02">
            <w:pPr>
              <w:spacing w:after="0" w:line="240" w:lineRule="auto"/>
              <w:ind w:left="57"/>
              <w:jc w:val="center"/>
              <w:rPr>
                <w:rFonts w:ascii="Times New Roman" w:eastAsia="Calibri" w:hAnsi="Times New Roman" w:cs="Times New Roman"/>
                <w:b/>
                <w:sz w:val="32"/>
                <w:szCs w:val="32"/>
              </w:rPr>
            </w:pPr>
            <w:r>
              <w:rPr>
                <w:rFonts w:ascii="Times New Roman" w:eastAsia="Calibri" w:hAnsi="Times New Roman" w:cs="Times New Roman"/>
                <w:b/>
                <w:sz w:val="32"/>
                <w:szCs w:val="32"/>
              </w:rPr>
              <w:t>OCENA SKUTKÓW REGULACJI</w:t>
            </w:r>
          </w:p>
        </w:tc>
      </w:tr>
      <w:tr w:rsidR="0092755C" w:rsidTr="00290E02">
        <w:trPr>
          <w:gridAfter w:val="1"/>
          <w:wAfter w:w="10" w:type="dxa"/>
          <w:trHeight w:val="33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Jaki problem jest rozwiązywany?</w:t>
            </w:r>
            <w:bookmarkStart w:id="3" w:name="Wybór1"/>
            <w:bookmarkEnd w:id="3"/>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76" w:lineRule="auto"/>
              <w:jc w:val="both"/>
              <w:rPr>
                <w:rFonts w:ascii="Times New Roman" w:eastAsia="Calibri" w:hAnsi="Times New Roman" w:cs="Times New Roman"/>
              </w:rPr>
            </w:pPr>
            <w:r>
              <w:rPr>
                <w:rFonts w:ascii="Times New Roman" w:eastAsia="Calibri" w:hAnsi="Times New Roman" w:cs="Times New Roman"/>
              </w:rPr>
              <w:t>W obecnych uregulowaniach realizacja szeregu czynności urzędowych związana jest z koniecznością wizyty obywatela w urzędzie. Ponadto czynności te wymagają składania stosownych oświadczeń i wniosków w formie papierowej oraz  weryfikacji przekazanej dokumentacji przez urzędnika. Mając na względzie wprowadzone na terenie Rzeczypospolitej Polskiej ograniczenia związane z epidemią wirusa SARS-COV2 oraz uwzględniając konieczność minimalizowania kontaktu z innymi osobami oraz zachowywania dystansu społecznego, niezwykle ważne jest by obywatele dysponowali możliwością realizacji podstawowych spraw urzędowych zdalnie, przy pomocy prostych, intuicyjnych  i dedykowanych konkretnym czynnościom usług elektronicznych. Realizacja części spraw niewątpliwie nie wymaga by były one prowadzone wyłącznie w formie tradycyjnej (papierowej) i z powodzeniem można przenieść je do elektronicznych kanałów komunikacji oraz systemów elektronicznego obiegu dokumentów.</w:t>
            </w:r>
          </w:p>
          <w:p w:rsidR="0092755C" w:rsidRDefault="0092755C" w:rsidP="00290E02">
            <w:pPr>
              <w:spacing w:after="0" w:line="276" w:lineRule="auto"/>
              <w:jc w:val="both"/>
              <w:rPr>
                <w:rFonts w:ascii="Times New Roman" w:eastAsia="Calibri" w:hAnsi="Times New Roman" w:cs="Times New Roman"/>
              </w:rPr>
            </w:pPr>
          </w:p>
          <w:p w:rsidR="0092755C" w:rsidRDefault="0092755C" w:rsidP="00290E02">
            <w:pPr>
              <w:spacing w:after="0" w:line="276" w:lineRule="auto"/>
              <w:jc w:val="both"/>
              <w:rPr>
                <w:rFonts w:ascii="Times New Roman" w:eastAsia="Calibri" w:hAnsi="Times New Roman" w:cs="Times New Roman"/>
              </w:rPr>
            </w:pPr>
            <w:r>
              <w:rPr>
                <w:rFonts w:ascii="Times New Roman" w:eastAsia="Calibri" w:hAnsi="Times New Roman" w:cs="Times New Roman"/>
              </w:rPr>
              <w:t>Dodatkowo istnieje szereg usług, które już dziś są realizowane elektronicznie lecz wykorzystanie nowych narzędzi informatycznych np. pieczęci elektronicznej pozwala na ich obsługę na wyższym poziomie dojrzałości tj. transakcyjnie. Obecnie np. zgłoszenia meldunkowe lub wydanie zaświadczenia o danych własnych przetwarzanych w rejestrze PESEL, pomimo możliwości ich elektronicznej realizacji polegają na wysłaniu zgłoszenia do urzędu gminy. Problemem jest w tym przypadku w dalszym ciągu długi czas obsługi i wydania dokumentu a także konieczność poświęcenia przez urzędnika gminy czasu na obsługę elektronicznego zgłoszenia. Transakcyjność rejestracji zdarzeń wprowadzana jest tam, gdzie możliwa jest rejestracja określonych zdarzeń w rejestrach publicznych na skutek oświadczenia osoby, bez konieczności weryfikacji dodatkowych dokumentów np. pełnomocnictwa.</w:t>
            </w:r>
          </w:p>
          <w:p w:rsidR="0092755C" w:rsidRDefault="0092755C" w:rsidP="00290E02">
            <w:pPr>
              <w:spacing w:after="0" w:line="240"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rPr>
              <w:t>Rekomendowane rozwiązanie, w tym planowane narzędzia interwencji, i oczekiwany efekt</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 zakłada:</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Przyjęcie podstaw prawnych do stworzenia usług elektronicznych dostępnych po uwierzytelnieniu obywatela w systemie teleinformatycznym w sposób określony w ustawie o informatyzacji działalności podmiotów realizujących zadania publiczne. Usługi te przyczynią się do przyspieszenia załatwiania spraw, zmniejszą obciążenie obowiązkami pracowników urzędów, przyspieszą czas realizacji usług jak też zredukują ilość dokumentacji dostarczanej i gromadzonej dotychczas w formie papierowej.</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Usługi zostaną zaimplementowane w witrynie gov.pl stanowiącej podstawowe i dostępne źródło wiedzy dla obywateli w zakresie załatwiania konkretnych spraw urzędowych. Warunkiem koniecznym do skorzystania  będzie posiadanie środka identyfikacji elektronicznej, np. profilu zaufanego lub profilu osobistego (wydawanego z dowodem osobistym), pozwalającego na uwierzytelnienie zainteresowanego w usłudze elektronicznej</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Proponowane rozwiązania dotyczą możliwości realizacji przy pomocy usług:</w:t>
            </w: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t>1) Z zakresu ustawy o dowodach osobistych:</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zapewnienie możliwości wnioskowania o udostępnienie danych z RDO w trybie ograniczonej teletransmisji danych przy użyciu dedykowanej usługi oraz przedkładania w formie elektronicznej dokumentów potwierdzających spełnienie przesłanek ustawowych do przyznania dostępu (przygotowanie dedykowanej usługi);</w:t>
            </w: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t>- pobranie dokumentu zawierającego informację o odbiorcach danych osoby przetwarzanych w rejestrze PESEL (a także jej dzieci) tj. podmiotach, którym udostępniono dane osoby;</w:t>
            </w:r>
          </w:p>
          <w:p w:rsidR="0092755C" w:rsidRDefault="0092755C" w:rsidP="00290E02">
            <w:pPr>
              <w:spacing w:after="0" w:line="276" w:lineRule="auto"/>
              <w:ind w:left="720"/>
              <w:jc w:val="both"/>
              <w:rPr>
                <w:rFonts w:ascii="Times New Roman" w:eastAsia="Calibri" w:hAnsi="Times New Roman" w:cs="Times New Roman"/>
                <w:spacing w:val="-2"/>
              </w:rPr>
            </w:pP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lastRenderedPageBreak/>
              <w:t>2) Z zakresu ustawy o ewidencji ludności:</w:t>
            </w:r>
          </w:p>
          <w:p w:rsidR="0092755C" w:rsidRDefault="0092755C" w:rsidP="00290E02">
            <w:pPr>
              <w:spacing w:after="0" w:line="276" w:lineRule="auto"/>
              <w:ind w:left="720"/>
              <w:jc w:val="both"/>
              <w:rPr>
                <w:rFonts w:ascii="Times New Roman" w:eastAsia="Calibri" w:hAnsi="Times New Roman" w:cs="Times New Roman"/>
                <w:bCs/>
                <w:shd w:val="clear" w:color="auto" w:fill="FFFFFF"/>
              </w:rPr>
            </w:pPr>
            <w:r>
              <w:rPr>
                <w:rFonts w:ascii="Times New Roman" w:eastAsia="Calibri" w:hAnsi="Times New Roman" w:cs="Times New Roman"/>
                <w:spacing w:val="-2"/>
              </w:rPr>
              <w:t xml:space="preserve">- umożliwienie osobie fizycznej transakcyjnego zameldowania się w lokalu będącym jego własnością lub współwłasnością, o ile on widnieje w księdze wieczystej lub wskaże jej numer. Usługa umożliwi też zameldowanie osoby niepełnoletniej </w:t>
            </w:r>
            <w:r>
              <w:rPr>
                <w:rFonts w:ascii="Times New Roman" w:eastAsia="Calibri" w:hAnsi="Times New Roman" w:cs="Times New Roman"/>
                <w:bCs/>
                <w:shd w:val="clear" w:color="auto" w:fill="FFFFFF"/>
              </w:rPr>
              <w:t>jeżeli w rejestrze PESEL w rekordzie dziecka pozostającego pod władzą rodzicielską zgłaszającego widnieje informacja o numerze PESEL rodzica dokonującego zameldowania.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bCs/>
                <w:shd w:val="clear" w:color="auto" w:fill="FFFFFF"/>
              </w:rPr>
              <w:t xml:space="preserve">- transakcyjne o wymeldowanie się </w:t>
            </w:r>
            <w:r>
              <w:rPr>
                <w:rFonts w:ascii="Times New Roman" w:eastAsia="Calibri" w:hAnsi="Times New Roman" w:cs="Times New Roman"/>
                <w:shd w:val="clear" w:color="auto" w:fill="FFFFFF"/>
              </w:rPr>
              <w:t xml:space="preserve">lub  wymeldowanie osoby niepełnoletniej, </w:t>
            </w:r>
            <w:r>
              <w:rPr>
                <w:rFonts w:ascii="Times New Roman" w:eastAsia="Calibri" w:hAnsi="Times New Roman" w:cs="Times New Roman"/>
              </w:rPr>
              <w:t xml:space="preserve">jeżeli w rejestrze PESEL w rekordzie dziecka </w:t>
            </w:r>
            <w:r>
              <w:rPr>
                <w:rFonts w:ascii="Times New Roman" w:eastAsia="Calibri" w:hAnsi="Times New Roman" w:cs="Times New Roman"/>
                <w:bCs/>
                <w:shd w:val="clear" w:color="auto" w:fill="FFFFFF"/>
              </w:rPr>
              <w:t xml:space="preserve">pozostającego pod władzą rodzicielską zgłaszającego </w:t>
            </w:r>
            <w:r>
              <w:rPr>
                <w:rFonts w:ascii="Times New Roman" w:eastAsia="Calibri" w:hAnsi="Times New Roman" w:cs="Times New Roman"/>
              </w:rPr>
              <w:t>widnieje informacja o numerze PESEL rodzica dokonującego czynności wymeldowania.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shd w:val="clear" w:color="auto" w:fill="FFFFFF"/>
              </w:rPr>
            </w:pPr>
            <w:r>
              <w:rPr>
                <w:rFonts w:ascii="Times New Roman" w:eastAsia="Calibri" w:hAnsi="Times New Roman" w:cs="Times New Roman"/>
              </w:rPr>
              <w:t xml:space="preserve">- zgłoszenie  </w:t>
            </w:r>
            <w:r>
              <w:rPr>
                <w:rFonts w:ascii="Times New Roman" w:eastAsia="Calibri" w:hAnsi="Times New Roman" w:cs="Times New Roman"/>
                <w:shd w:val="clear" w:color="auto" w:fill="FFFFFF"/>
              </w:rPr>
              <w:t xml:space="preserve">przez osobę której ono dotyczy, </w:t>
            </w:r>
            <w:r>
              <w:rPr>
                <w:rFonts w:ascii="Times New Roman" w:eastAsia="Calibri" w:hAnsi="Times New Roman" w:cs="Times New Roman"/>
              </w:rPr>
              <w:t xml:space="preserve">przy użyciu transakcyjnej usługi wyjazdu z kraju z zamiarem stałego pobytu oraz powrotu. W </w:t>
            </w:r>
            <w:r>
              <w:rPr>
                <w:rFonts w:ascii="Times New Roman" w:eastAsia="Calibri" w:hAnsi="Times New Roman" w:cs="Times New Roman"/>
                <w:shd w:val="clear" w:color="auto" w:fill="FFFFFF"/>
              </w:rPr>
              <w:t xml:space="preserve">przypadku zgłoszenia wyjazdu lub powrotu osoby niepełnoletniej czynności może dokonać rodzic jeżeli w rejestrze PESEL w rekordzie dziecka </w:t>
            </w:r>
            <w:r>
              <w:rPr>
                <w:rFonts w:ascii="Times New Roman" w:eastAsia="Calibri" w:hAnsi="Times New Roman" w:cs="Times New Roman"/>
                <w:bCs/>
                <w:shd w:val="clear" w:color="auto" w:fill="FFFFFF"/>
              </w:rPr>
              <w:t xml:space="preserve">pozostającego pod władzą rodzicielską zgłaszającego  </w:t>
            </w:r>
            <w:r>
              <w:rPr>
                <w:rFonts w:ascii="Times New Roman" w:eastAsia="Calibri" w:hAnsi="Times New Roman" w:cs="Times New Roman"/>
                <w:shd w:val="clear" w:color="auto" w:fill="FFFFFF"/>
              </w:rPr>
              <w:t>widnieje informacja o numerze PESEL rodzica dokonującego wymeldowania.</w:t>
            </w:r>
            <w:r>
              <w:rPr>
                <w:rFonts w:ascii="Times New Roman" w:eastAsia="Calibri" w:hAnsi="Times New Roman" w:cs="Times New Roman"/>
              </w:rPr>
              <w:t xml:space="preserve">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shd w:val="clear" w:color="auto" w:fill="FFFFFF"/>
              </w:rPr>
              <w:t xml:space="preserve">- umożliwienie wglądu, </w:t>
            </w:r>
            <w:r>
              <w:rPr>
                <w:rFonts w:ascii="Times New Roman" w:eastAsia="Calibri" w:hAnsi="Times New Roman" w:cs="Times New Roman"/>
              </w:rPr>
              <w:t>przy użyciu</w:t>
            </w:r>
            <w:r>
              <w:rPr>
                <w:rFonts w:ascii="Times New Roman" w:hAnsi="Times New Roman"/>
              </w:rPr>
              <w:t xml:space="preserve"> </w:t>
            </w:r>
            <w:r>
              <w:rPr>
                <w:rFonts w:ascii="Times New Roman" w:eastAsia="Calibri" w:hAnsi="Times New Roman" w:cs="Times New Roman"/>
                <w:shd w:val="clear" w:color="auto" w:fill="FFFFFF"/>
              </w:rPr>
              <w:t xml:space="preserve">dedykowanej usługi, </w:t>
            </w:r>
            <w:r>
              <w:rPr>
                <w:rFonts w:ascii="Times New Roman" w:eastAsia="Calibri" w:hAnsi="Times New Roman" w:cs="Times New Roman"/>
              </w:rPr>
              <w:t>do rejestru w zakresie danych dotyczących tej osoby, a także jej niepełnoletnich dzieci pozostających pod jej władzą rodzicielską, jeżeli w rejestrze PESEL w rekordzie dziecka widnieje informacja o numerze PESEL rodzica;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osobie, której dane są przetwarzane w rejestrze PESEL pobrania z rejestru PESEL zaświadczenia zawierającego pełny lub częściowy odpis danych dotyczących jej osoby oraz jej dzieci przy użyciu transakcyjnej usługi elektronicznej. Zaświadczenie jest opatrywane pieczęcią ministra właściwego do spraw informatyzacji weryfikowaną przy pomocy kwalifikowanego certyfikatu. Umożliwia się pobranie z rejestru PESEL zaświadczeń dotyczących dzieci jeżeli w rejestrze PESEL w rekordzie dziecka widnieje informacja o numerze PESEL rodzica pobierającego zaświadczenie, a dziecko pozostaje pod jego władzą rodzicielską;</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nieodpłatnego pobrania informacji o odbiorcach, którym dane osobowe osoby fizycznej lub dane osobowe jej dziecka zostały ujawnione. Rodzicowi umożliwia się pobranie informacji o odbiorcach, którym udostępniono z rejestru PESEL dane osobowe jego dziecka, jeżeli w rejestrze PESEL w rekordzie dziecka widnieją informacja o numerze PESEL rodzica pobierającego informacje a dziecko pozostaje pod jego władzą rodzicielską. Usługa transakcyjna, która eliminuje konieczność obsługi wniosku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złożenia przy użyciu dedykowanej usługi wniosku o udostępnienie dan</w:t>
            </w:r>
            <w:r w:rsidR="00A068DF">
              <w:rPr>
                <w:rFonts w:ascii="Times New Roman" w:eastAsia="Calibri" w:hAnsi="Times New Roman" w:cs="Times New Roman"/>
              </w:rPr>
              <w:t xml:space="preserve">ych z rejestru PESEL za pomocą urządzeń </w:t>
            </w:r>
            <w:r>
              <w:rPr>
                <w:rFonts w:ascii="Times New Roman" w:eastAsia="Calibri" w:hAnsi="Times New Roman" w:cs="Times New Roman"/>
              </w:rPr>
              <w:t>teletransm</w:t>
            </w:r>
            <w:r w:rsidR="00A068DF">
              <w:rPr>
                <w:rFonts w:ascii="Times New Roman" w:eastAsia="Calibri" w:hAnsi="Times New Roman" w:cs="Times New Roman"/>
              </w:rPr>
              <w:t xml:space="preserve">isji danych, w drodze </w:t>
            </w:r>
            <w:r>
              <w:rPr>
                <w:rFonts w:ascii="Times New Roman" w:eastAsia="Calibri" w:hAnsi="Times New Roman" w:cs="Times New Roman"/>
              </w:rPr>
              <w:t>weryfikacji oraz przedkładania w formie elektronicznej dokumentów potwierdzających spełnienie przesłanek ustawowych do przyznania dostępu (przygotowanie dedykowanej usługi);</w:t>
            </w:r>
          </w:p>
          <w:p w:rsidR="0092755C" w:rsidRDefault="0092755C" w:rsidP="00290E02">
            <w:pPr>
              <w:spacing w:after="0" w:line="276" w:lineRule="auto"/>
              <w:ind w:left="720"/>
              <w:jc w:val="both"/>
              <w:rPr>
                <w:rFonts w:ascii="Times New Roman" w:eastAsia="Calibri" w:hAnsi="Times New Roman" w:cs="Times New Roman"/>
              </w:rPr>
            </w:pP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xml:space="preserve">3) Z zakresu ustawy </w:t>
            </w:r>
            <w:r w:rsidR="00A068DF">
              <w:rPr>
                <w:rFonts w:ascii="Times New Roman" w:eastAsia="Calibri" w:hAnsi="Times New Roman" w:cs="Times New Roman"/>
              </w:rPr>
              <w:t>- P</w:t>
            </w:r>
            <w:r>
              <w:rPr>
                <w:rFonts w:ascii="Times New Roman" w:eastAsia="Calibri" w:hAnsi="Times New Roman" w:cs="Times New Roman"/>
              </w:rPr>
              <w:t>rawo o aktach stanu cywilnego:</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osobie, której dane przetwarzane są w Rejestrze Stanu Cywilnego, jej małżonkowi, dzieciom oraz rodzicom pobrania zaświadczenia o zamieszczonych lub niezamieszczonych danych w rejestrze stanu cywilnego przy użyciu usługi elektronicznej. Zaświadczenie o zamieszczonych lub niezamieszczonych danych w rejestrze stanu cywilnego jest opatrywane pieczęcią elektroniczną ministra właściwego do spraw informatyzacji weryfikowaną przy pomocy kwalifikowanego certyfikatu. Usługa transakcyjna, która eliminuje konieczność obsługi wniosku przez urzędnika;</w:t>
            </w:r>
          </w:p>
          <w:p w:rsidR="0092755C" w:rsidRDefault="0092755C" w:rsidP="00290E02">
            <w:pPr>
              <w:spacing w:after="0" w:line="276" w:lineRule="auto"/>
              <w:ind w:left="720"/>
              <w:jc w:val="both"/>
              <w:rPr>
                <w:rFonts w:ascii="Times New Roman" w:eastAsia="Calibri" w:hAnsi="Times New Roman" w:cs="Times New Roman"/>
                <w:b/>
              </w:rPr>
            </w:pPr>
            <w:r>
              <w:rPr>
                <w:rFonts w:ascii="Times New Roman" w:eastAsia="Calibri" w:hAnsi="Times New Roman" w:cs="Times New Roman"/>
              </w:rPr>
              <w:t xml:space="preserve">- umożliwienie pobrania przy użyciu transakcyjnej usługi elektronicznej zaświadczenia z rejestru stanu cywilnego o stanie cywilnym,  </w:t>
            </w:r>
            <w:r>
              <w:rPr>
                <w:rFonts w:ascii="Times New Roman" w:eastAsia="Times New Roman" w:hAnsi="Times New Roman" w:cs="Times New Roman"/>
                <w:lang w:eastAsia="pl-PL"/>
              </w:rPr>
              <w:t xml:space="preserve">opatrzonego kwalifikowaną pieczęcią elektroniczną ministra właściwego do spraw informatyzacji. </w:t>
            </w:r>
            <w:r>
              <w:rPr>
                <w:rFonts w:ascii="Times New Roman" w:eastAsia="Calibri" w:hAnsi="Times New Roman" w:cs="Times New Roman"/>
              </w:rPr>
              <w:t>Usługa transakcyjna, która eliminuje konieczność obsługi wniosku przez urzędnika.</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07"/>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rPr>
              <w:lastRenderedPageBreak/>
              <w:t>Jak problem został rozwiązany w innych krajach, w szczególności krajach członkowskich OECD/UE</w:t>
            </w:r>
            <w:r>
              <w:rPr>
                <w:rFonts w:ascii="Times New Roman" w:eastAsia="Calibri" w:hAnsi="Times New Roman" w:cs="Times New Roman"/>
                <w:b/>
              </w:rPr>
              <w:t>?</w:t>
            </w:r>
            <w:r>
              <w:rPr>
                <w:rFonts w:ascii="Times New Roman" w:eastAsia="Calibri" w:hAnsi="Times New Roman" w:cs="Times New Roman"/>
                <w:i/>
              </w:rPr>
              <w:t xml:space="preserv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Z własnych analiz wynika, że w innych krajach, w szczególności w krajach członkowskich OECD/UE, do tej pory nie wprowadzono podobnych rozwiązań.</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59"/>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Podmioty, na które oddziałuje projekt</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Grupa</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Oddziaływanie</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lastRenderedPageBreak/>
              <w:t>Obywatele (na potrzeby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projektu przyjęto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definicję) – osoby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fizyczne uprawnione do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skorzystania z danej</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usługi (w szczególności</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e-usługi), na podstawie</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obowiązującego prawa</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Około 24 mln</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Grupa będzie korzystać z e-usług</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Cudzoziemcy</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Około 430 000</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Dane pozyskane z Urzędu do spraw Cudzoziemców</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Grupa będzie korzystać z e-usług</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Minister właściwy do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spraw informatyzacji</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1</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Utworzenie e-usług</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związanych z rejestrem,</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właściciel Systemu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Rejestrów Państwowych</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Ministerstwo Spraw Wewnętrznych i Administracji</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1</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Jednostka organizacyjna</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odpowiedzialna za nadzór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nad rejestracją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 ewidencją</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ludności, wydawaniem</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dowodów osobistych oraz</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dokumentów paszportowych</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Urzędy (gmin, miast,</w:t>
            </w:r>
          </w:p>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stanu cywilnego)</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2478 urzędów gmin,</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2257 urzędów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w:t>
            </w:r>
          </w:p>
        </w:tc>
        <w:tc>
          <w:tcPr>
            <w:tcW w:w="2996" w:type="dxa"/>
            <w:gridSpan w:val="12"/>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rPr>
                <w:rFonts w:ascii="Times New Roman" w:eastAsia="Calibri" w:hAnsi="Times New Roman" w:cs="Times New Roman"/>
                <w:spacing w:val="-2"/>
              </w:rPr>
            </w:pP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Organy wykonujące zadania</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zlecone z zakresu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administracji publicznej,</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wydawania dowodów</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osobistych, ewidencji</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ludności, rejestru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Uprawnione podmioty gospodarcze (prywatne i publiczne)</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 xml:space="preserve">Brak możliwości oszacowania. Zgodnie z przepisami każdy podmiot może być wnioskodawcą. </w:t>
            </w:r>
          </w:p>
        </w:tc>
        <w:tc>
          <w:tcPr>
            <w:tcW w:w="2996" w:type="dxa"/>
            <w:gridSpan w:val="12"/>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rPr>
                <w:rFonts w:ascii="Times New Roman" w:eastAsia="Calibri" w:hAnsi="Times New Roman" w:cs="Times New Roman"/>
                <w:spacing w:val="-2"/>
              </w:rPr>
            </w:pP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 xml:space="preserve">Grupa będzie korzystać z możliwości wnioskowania w drodze elektronicznej o dostęp do rejestrów państwowych w drodze weryfikacji (PESEL) i ograniczonej teletransmisji (RDO) </w:t>
            </w:r>
          </w:p>
        </w:tc>
      </w:tr>
      <w:tr w:rsidR="0092755C" w:rsidTr="00290E02">
        <w:trPr>
          <w:gridAfter w:val="1"/>
          <w:wAfter w:w="10" w:type="dxa"/>
          <w:trHeight w:val="30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Informacje na temat zakresu, czasu trwania i podsumowanie wyników konsultacji</w:t>
            </w:r>
          </w:p>
        </w:tc>
      </w:tr>
      <w:tr w:rsidR="0092755C" w:rsidTr="00290E02">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Projekt ustawy zostanie skierowany do konsultacji publicznych do następujących podmiotów:</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Fundacja </w:t>
            </w:r>
            <w:proofErr w:type="spellStart"/>
            <w:r>
              <w:rPr>
                <w:rFonts w:ascii="Times New Roman" w:eastAsia="Calibri" w:hAnsi="Times New Roman" w:cs="Times New Roman"/>
                <w:spacing w:val="-2"/>
              </w:rPr>
              <w:t>ePaństwo</w:t>
            </w:r>
            <w:proofErr w:type="spellEnd"/>
            <w:r>
              <w:rPr>
                <w:rFonts w:ascii="Times New Roman" w:eastAsia="Calibri" w:hAnsi="Times New Roman" w:cs="Times New Roman"/>
                <w:spacing w:val="-2"/>
              </w:rPr>
              <w:t>,</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Fundacja Panoptykon,</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Ogólnopolskie Porozumienie Organizacji Samorządowych,</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Polska Izba Informatyki i Telekomunikacji,</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Polska Izba Komunikacji Elektronicznej,</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Stowarzyszenie Sieć Obywatelska – </w:t>
            </w:r>
            <w:proofErr w:type="spellStart"/>
            <w:r>
              <w:rPr>
                <w:rFonts w:ascii="Times New Roman" w:eastAsia="Calibri" w:hAnsi="Times New Roman" w:cs="Times New Roman"/>
                <w:spacing w:val="-2"/>
              </w:rPr>
              <w:t>Watchdog</w:t>
            </w:r>
            <w:proofErr w:type="spellEnd"/>
            <w:r>
              <w:rPr>
                <w:rFonts w:ascii="Times New Roman" w:eastAsia="Calibri" w:hAnsi="Times New Roman" w:cs="Times New Roman"/>
                <w:spacing w:val="-2"/>
              </w:rPr>
              <w:t xml:space="preserve"> Polska,</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Stowarzyszenia Urzędników Stanu Cywilnego Rzeczypospolitej Polskiej,</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Stowarzyszenie Inspektorów Ochrony Danych Osobowych,</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Stowarzyszenie Administratorów Bezpieczeństwa Informacji,</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Konfederacja Lewiatan</w:t>
            </w:r>
          </w:p>
          <w:p w:rsidR="0092755C" w:rsidRDefault="0092755C" w:rsidP="00290E02">
            <w:pPr>
              <w:spacing w:after="0" w:line="240" w:lineRule="auto"/>
              <w:ind w:left="720"/>
              <w:jc w:val="both"/>
              <w:rPr>
                <w:rFonts w:ascii="Times New Roman" w:eastAsia="Calibri" w:hAnsi="Times New Roman" w:cs="Times New Roman"/>
                <w:spacing w:val="-2"/>
              </w:rPr>
            </w:pPr>
          </w:p>
          <w:p w:rsidR="0092755C" w:rsidRPr="00FD3E92"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or</w:t>
            </w:r>
            <w:r w:rsidRPr="00FD3E92">
              <w:rPr>
                <w:rFonts w:ascii="Times New Roman" w:eastAsia="Calibri" w:hAnsi="Times New Roman" w:cs="Times New Roman"/>
                <w:spacing w:val="-2"/>
              </w:rPr>
              <w:t>az do zaopiniowania do następujących podmiotów:</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Prokuratorii Generalnej RP;</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Calibri" w:hAnsi="Times New Roman" w:cs="Times New Roman"/>
              </w:rPr>
              <w:t>Prezes Urzędu Ochrony Konkurencji i Konsumentów;</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Urzędu Ochrony Danych Osobowych;</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Głównego Urzędu Statystycznego.</w:t>
            </w:r>
          </w:p>
          <w:p w:rsidR="00FD3E92" w:rsidRPr="00FD3E92" w:rsidRDefault="00FD3E92" w:rsidP="00FD3E92">
            <w:pPr>
              <w:numPr>
                <w:ilvl w:val="0"/>
                <w:numId w:val="5"/>
              </w:numPr>
              <w:spacing w:after="0" w:line="240" w:lineRule="auto"/>
              <w:ind w:left="714" w:hanging="357"/>
              <w:jc w:val="both"/>
              <w:rPr>
                <w:rFonts w:ascii="Times New Roman" w:eastAsia="Calibri" w:hAnsi="Times New Roman" w:cs="Times New Roman"/>
                <w:spacing w:val="-2"/>
                <w:lang w:eastAsia="pl-PL"/>
              </w:rPr>
            </w:pPr>
            <w:r w:rsidRPr="00FD3E92">
              <w:rPr>
                <w:rFonts w:ascii="Times New Roman" w:eastAsia="Calibri" w:hAnsi="Times New Roman" w:cs="Times New Roman"/>
                <w:spacing w:val="-2"/>
                <w:lang w:eastAsia="pl-PL"/>
              </w:rPr>
              <w:t>Pełnomocnik Rządu do Spraw Osób Niepełnosprawnych;</w:t>
            </w:r>
          </w:p>
          <w:p w:rsidR="00FD3E92" w:rsidRPr="00FD3E92" w:rsidRDefault="00FD3E92" w:rsidP="00FD3E92">
            <w:pPr>
              <w:numPr>
                <w:ilvl w:val="0"/>
                <w:numId w:val="5"/>
              </w:numPr>
              <w:spacing w:after="0" w:line="240" w:lineRule="auto"/>
              <w:ind w:left="714" w:hanging="357"/>
              <w:jc w:val="both"/>
              <w:rPr>
                <w:rFonts w:ascii="Times New Roman" w:eastAsia="Calibri" w:hAnsi="Times New Roman" w:cs="Times New Roman"/>
                <w:spacing w:val="-2"/>
                <w:lang w:eastAsia="pl-PL"/>
              </w:rPr>
            </w:pPr>
            <w:r w:rsidRPr="00FD3E92">
              <w:rPr>
                <w:rFonts w:ascii="Times New Roman" w:eastAsia="Calibri" w:hAnsi="Times New Roman" w:cs="Times New Roman"/>
                <w:spacing w:val="-2"/>
                <w:lang w:eastAsia="pl-PL"/>
              </w:rPr>
              <w:t>Rada do spraw Cyfryzacji.</w:t>
            </w:r>
          </w:p>
          <w:p w:rsidR="0092755C" w:rsidRDefault="0092755C" w:rsidP="00290E02">
            <w:pPr>
              <w:spacing w:after="0" w:line="240" w:lineRule="auto"/>
              <w:jc w:val="both"/>
              <w:rPr>
                <w:rFonts w:ascii="Times New Roman" w:eastAsia="Calibri" w:hAnsi="Times New Roman" w:cs="Times New Roman"/>
                <w:spacing w:val="-2"/>
              </w:rPr>
            </w:pPr>
          </w:p>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Projekt zostanie również przekazany Komisji Wspólnej Rządu i Samorządu Terytorialnego</w:t>
            </w:r>
          </w:p>
          <w:p w:rsidR="0092755C" w:rsidRDefault="0092755C" w:rsidP="00290E02">
            <w:pPr>
              <w:spacing w:after="0" w:line="240" w:lineRule="auto"/>
              <w:jc w:val="both"/>
              <w:rPr>
                <w:rFonts w:ascii="Times New Roman" w:eastAsia="Calibri" w:hAnsi="Times New Roman" w:cs="Times New Roman"/>
                <w:spacing w:val="-2"/>
              </w:rPr>
            </w:pPr>
          </w:p>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color w:val="000000"/>
                <w:spacing w:val="-2"/>
              </w:rPr>
              <w:lastRenderedPageBreak/>
              <w:t>Zgodnie z art. 5 ustawy z dnia 7 lipca 2005 r. o działalności lobbingowej w procesie stanowienia prawa (Dz. U. z 2017 r. poz. 248) projektowana ustawa zostanie zamieszczona w Biuletynie Informacji Publicznej na stronie podmiotowej Rządowego Centrum Legislacji, w serwisie „Rządowy Proces Legislacyjny” oraz w Biuletynie Informacji Publicznej na stronie podmiotowej Ministra Cyfryzacji.</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6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lastRenderedPageBreak/>
              <w:t xml:space="preserve"> Wpływ na sektor finansów publicznych</w:t>
            </w:r>
          </w:p>
        </w:tc>
      </w:tr>
      <w:tr w:rsidR="0092755C" w:rsidTr="00290E02">
        <w:trPr>
          <w:gridAfter w:val="1"/>
          <w:wAfter w:w="10" w:type="dxa"/>
          <w:trHeight w:val="142"/>
          <w:jc w:val="center"/>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76" w:lineRule="auto"/>
              <w:rPr>
                <w:rFonts w:ascii="Times New Roman" w:eastAsia="Calibri" w:hAnsi="Times New Roman" w:cs="Times New Roman"/>
                <w:i/>
                <w:sz w:val="21"/>
                <w:szCs w:val="21"/>
              </w:rPr>
            </w:pPr>
            <w:r>
              <w:rPr>
                <w:rFonts w:ascii="Times New Roman" w:eastAsia="Calibri" w:hAnsi="Times New Roman" w:cs="Times New Roman"/>
                <w:sz w:val="21"/>
                <w:szCs w:val="21"/>
              </w:rPr>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sz w:val="21"/>
                <w:szCs w:val="21"/>
              </w:rPr>
              <w:t>Skutki w okresie 10 lat od wejścia w życie zmian [mln zł]</w:t>
            </w:r>
          </w:p>
        </w:tc>
      </w:tr>
      <w:tr w:rsidR="0092755C" w:rsidTr="00290E02">
        <w:trPr>
          <w:gridAfter w:val="1"/>
          <w:wAfter w:w="10" w:type="dxa"/>
          <w:trHeight w:val="14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i/>
                <w:sz w:val="21"/>
                <w:szCs w:val="21"/>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i/>
                <w:spacing w:val="-2"/>
                <w:sz w:val="21"/>
                <w:szCs w:val="21"/>
              </w:rPr>
              <w:t>Łącznie (0-10)</w:t>
            </w:r>
          </w:p>
        </w:tc>
      </w:tr>
      <w:tr w:rsidR="0092755C" w:rsidTr="00290E02">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z w:val="21"/>
                <w:szCs w:val="21"/>
              </w:rPr>
              <w:t>-7,732</w:t>
            </w:r>
          </w:p>
        </w:tc>
      </w:tr>
      <w:tr w:rsidR="0092755C" w:rsidTr="00290E02">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pacing w:val="-2"/>
                <w:sz w:val="21"/>
                <w:szCs w:val="21"/>
              </w:rPr>
            </w:pPr>
          </w:p>
        </w:tc>
      </w:tr>
      <w:tr w:rsidR="0092755C" w:rsidTr="00290E02">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-7,732</w:t>
            </w:r>
          </w:p>
        </w:tc>
      </w:tr>
      <w:tr w:rsidR="0092755C" w:rsidTr="00290E02">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3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3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6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-0,901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-0,011</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0,007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0,044</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0,063</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0,083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0,103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0,124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0,145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-0,346</w:t>
            </w:r>
          </w:p>
        </w:tc>
      </w:tr>
      <w:tr w:rsidR="0092755C" w:rsidTr="00290E02">
        <w:trPr>
          <w:trHeight w:val="36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-7,732</w:t>
            </w:r>
          </w:p>
        </w:tc>
      </w:tr>
      <w:tr w:rsidR="0092755C" w:rsidTr="00290E02">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gridAfter w:val="1"/>
          <w:wAfter w:w="10" w:type="dxa"/>
          <w:trHeight w:val="348"/>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Źródła finansowania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Finansowanie wydatków wynikających z projektu ustawy będzie odbywało się:</w:t>
            </w:r>
          </w:p>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w zakresie utworzenia i wdrożenia usług z części 27 budżetu państwa – Informatyzacja;</w:t>
            </w:r>
          </w:p>
          <w:p w:rsidR="0092755C" w:rsidRPr="00FD3E92" w:rsidRDefault="0092755C" w:rsidP="00290E02">
            <w:pPr>
              <w:spacing w:after="0" w:line="240" w:lineRule="auto"/>
              <w:jc w:val="both"/>
              <w:rPr>
                <w:rFonts w:ascii="Times New Roman" w:eastAsia="Calibri" w:hAnsi="Times New Roman" w:cs="Times New Roman"/>
                <w:sz w:val="21"/>
                <w:szCs w:val="21"/>
              </w:rPr>
            </w:pPr>
          </w:p>
        </w:tc>
      </w:tr>
      <w:tr w:rsidR="0092755C" w:rsidTr="00290E02">
        <w:trPr>
          <w:gridAfter w:val="1"/>
          <w:wAfter w:w="10" w:type="dxa"/>
          <w:trHeight w:val="1926"/>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Dodatkowe informacje, w tym wskazanie źródeł danych i przyjętych do obliczeń założeń</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tcPr>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color w:val="000000"/>
                <w:spacing w:val="-2"/>
                <w:sz w:val="21"/>
                <w:szCs w:val="21"/>
              </w:rPr>
              <w:t>Finansowanie utworzenia i wdrożenia modyfikacji usługi zgłoszenia urodzenia dziecka będą realizowane w ramach Programu Operacyjnego Polska Cyfrowa działanie 2.1 Wysoka dostępność i jakość e-usług publicznych Projekt Rozwój systemu rejestrów państwowych. W ramach wdrożenia nie zakłada się kosztów niekwalifikowalnych.</w:t>
            </w: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color w:val="000000"/>
                <w:spacing w:val="-2"/>
                <w:sz w:val="21"/>
                <w:szCs w:val="21"/>
              </w:rPr>
              <w:t>Dochody jednostek samorządu terytorialnego wykazane zostały w tabeli jako ujemne z uwagi na fakt, że jest to utrata dochodów z tytułu opłaty skarbowej (ujemne dochody).</w:t>
            </w: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p>
          <w:p w:rsidR="0092755C" w:rsidRPr="00FD3E92" w:rsidRDefault="0092755C" w:rsidP="00290E02">
            <w:pPr>
              <w:spacing w:after="0" w:line="240" w:lineRule="auto"/>
              <w:ind w:left="-88"/>
              <w:jc w:val="both"/>
              <w:rPr>
                <w:rFonts w:ascii="Times New Roman" w:hAnsi="Times New Roman"/>
                <w:sz w:val="21"/>
                <w:szCs w:val="21"/>
              </w:rPr>
            </w:pPr>
            <w:r w:rsidRPr="00FD3E92">
              <w:rPr>
                <w:rFonts w:ascii="Times New Roman" w:eastAsia="Calibri" w:hAnsi="Times New Roman" w:cs="Times New Roman"/>
                <w:sz w:val="21"/>
                <w:szCs w:val="21"/>
              </w:rPr>
              <w:t xml:space="preserve">W tabeli, wydatki z budżetu Państwa dla lat 1-10, zostały wykazane jako oszczędności (oszczędność wskazana jako ujemny wydatek) w pozycji wydatków. W roku 2022 czyli roku wejścia w życie ustawy zostaną poniesione koszty inwestycyjne w ramach części 27 budżetu Państwa. </w:t>
            </w:r>
          </w:p>
          <w:p w:rsidR="0092755C" w:rsidRPr="00FD3E92" w:rsidRDefault="0092755C" w:rsidP="00290E02">
            <w:pPr>
              <w:spacing w:after="0" w:line="240" w:lineRule="auto"/>
              <w:ind w:left="-88"/>
              <w:jc w:val="both"/>
              <w:rPr>
                <w:rFonts w:ascii="Times New Roman" w:eastAsia="Calibri" w:hAnsi="Times New Roman" w:cs="Times New Roman"/>
                <w:sz w:val="21"/>
                <w:szCs w:val="21"/>
              </w:rPr>
            </w:pPr>
          </w:p>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Całkowity koszt realizacji utworzenia i wdrożenia usług w ramach POPC wyniosą 5 467 442,19 zł brutto. Koszty utworzenia i wdrożenia usług finansowane z budżetu państwa (wkład krajowy 15,37%) wyniosą łącznie 840 345,88 zł brutto i jako koszty inwestycyjne w całości zostaną poniesione w 2022 r. Koszty te pomniejszone w roku bazowym (2022) o oszczędności w wysokości 0,421 mln zł. Dają koszt inwestycyjny w roku bazowym na poziomie 0,419 mln. zł.</w:t>
            </w:r>
          </w:p>
          <w:p w:rsidR="0092755C" w:rsidRPr="00FD3E92" w:rsidRDefault="0092755C" w:rsidP="00290E02">
            <w:pPr>
              <w:spacing w:after="0" w:line="276" w:lineRule="auto"/>
              <w:ind w:left="720"/>
              <w:contextualSpacing/>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Wdrożenie części usług z racji ich rodzaju oraz zamierzonej przez projektodawcę transakcyjności spowoduje zmniejszenie zaangażowania urzędników realizujących sprawy obywatelskie, a tym samym oszczędności w obszarze dotacji na zadania zlecone z zakresu spraw obywatelskich (wykazane jako ujemny wydatek w tabeli).</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lastRenderedPageBreak/>
              <w:t>Metodologia, którą kierowano się przy szacowanym przyszłym wykorzystaniu usług oparta jest na iloczynie konkretnych czynności dokonanych w roku 2019 z uwzględnieniem czasochłonności zadania w roboczogodzinach (dla zameldowania, wymeldowania zgłoszenia wyjazdu i powrotu jest to 0,29 h, dla zaświadczenia o stanie cywilnym 0,6 h, dla zaświadczenia o danych własnych z rejestru PESEL 0,33 h) oraz stawki za roboczogodzinę określonej dla zadań zleconych z zakresu spraw obywatelskich (31 zł). Wyliczenie nie uwzględnia zatem okresu pandemii, w czasie którego komunikowanie się z urzędami drogą elektroniczną uległo znacznemu spopularyzowaniu a wykorzystanie usług elektronicznych, w tym regulowanych projektem ustawy było wyższe niż w 2019 r. Z tego tytułu faktyczne oszczędności w obszarze dotacji na realizację zadań zleconych mogą okazać się wyższe.</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Ilość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dokonanych elektronicznie w 2019 r. wynosi 13 538 (usługą nietransakcyjną), udział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dzieci w ogólnej liczbie wszystkich zdarzeń, które w głównej mierze będą odbywać się nietransakcyjnie to 27%. Pozostałe 73%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 tj. 9880.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wyjazdów z kraju z zamiarem stałego pobytu zgłoszonych drogą elektroniczną w 2019 r. to 1440 (usługą nietransakcyjną), udział wyjazdów dzieci w ogólnej liczbie wszystkich zdarzeń, które w głównej mierze będą odbywać się nietransakcyjnie to 15%. Pozostałe 85% (tj. 1200)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powrotów z wyjazdu poza granicę RP zgłoszonych drogą elektroniczną w 2019 r. to 121 (usługą nietransakcyjną), udział powrotów dzieci w ogólnej liczbie wszystkich zdarzeń, które w głównej mierze będą odbywać się nietransakcyjnie to 15%. Pozostałe 85%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 tj. w przybliżeniu 100.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wniosków o zameldowanie złożona drogą elektroniczną wyniosła w 2019 r. 63 237. Stanowi to 5,6% wszystkich zameldowań zgłoszonych przez osoby dorosłe w roku 2019 tj. 1 131 200. Z tego w obliczeniach przyjęto, że ¼ (tj. 16000) zgłoszeń zostanie zrealizowana usługą transakcyjną przez właściciela albo współwłaściciela nieruchomości. </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przypadku przewidywanego wykorzystania usługi  w zakresie pobrania zaświadczenia o stanie cywilnym, założenie oparto na liczbie tego rodzaju zaświadczeń z Rejestru Stanu Cywilnego  wydanych w postaci elektronicznej w roku 2019. (tj. 300).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roku 2022 r. przewidywane koszty oszczędności pomniejszono proporcjonalnie do okresów funkcjonowania usług, uwzględniając terminy wdrożenia poszczególnych usług.</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Usługa umożliwiająca wgląd do danych obywatela w rejestrze PESEL i pobranie zaświadczenia </w:t>
            </w:r>
            <w:r w:rsidRPr="00FD3E92">
              <w:rPr>
                <w:rFonts w:ascii="Times New Roman" w:eastAsia="Calibri" w:hAnsi="Times New Roman" w:cs="Times New Roman"/>
                <w:sz w:val="21"/>
                <w:szCs w:val="21"/>
              </w:rPr>
              <w:br/>
              <w:t xml:space="preserve">o cząstkowych lub całkowitych danych osoby lub jej dziecka z rejestru PESEL stanowi rozbudowanie dotychczasowej usługi pobrania informacji o adresie zameldowania. Dotychczasowe rozwiązanie zostało uruchomione w roku 2020 i skorzystano z niego ponad 50000 razy, przy czym dla potrzeb niniejszego uzasadnienia ilość szacuje się na 42 000 (uwzględniając 84 % udział zapytań dotyczących osób pełnoletnich). Udostępnienie tego rozwiązania przyczyni się do zaistnienia oszczędności odpowiadające obsłudze 42000 dokumentów. </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Na podstawie analogicznych wartości użycia usług związanych z opłata skarbową oszacowano utratę dochodów z tytułu opłaty skarbowej – dla dokumentów, od których opłata ta jest pobierana tj. zaświadczenie o stanie cywilnym (38 zł) i zaświadczenie o danych własnych z rejestru PESEL (17 zł).</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roku 2022 r. przewidywane oszczędności jak i utratę dochodów z tytułu opłaty skarbowej pomniejszono proporcjonalnie do okresów funkcjonowania usług, uwzględniając terminy wdrożenia poszczególnych usług.</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color w:val="000000"/>
                <w:spacing w:val="-2"/>
                <w:sz w:val="21"/>
                <w:szCs w:val="21"/>
              </w:rPr>
              <w:t xml:space="preserve">Wdrażanie projektowanych usług nie spowoduje obciążeń dla jednostek samorządu terytorialnego ani pozostałych interesariuszy. </w:t>
            </w:r>
            <w:r w:rsidRPr="00FD3E92">
              <w:rPr>
                <w:rFonts w:ascii="Times New Roman" w:eastAsia="Calibri" w:hAnsi="Times New Roman" w:cs="Times New Roman"/>
                <w:sz w:val="21"/>
                <w:szCs w:val="21"/>
              </w:rPr>
              <w:t xml:space="preserve">W przypadku przeniesienia wydawania zaświadczeń do transakcyjnej usługi elektronicznej (bez udziału urzędnika), pojawia się kwestia uiszczania opłaty skarbowej przez osoby zainteresowane  ich uzyskaniem i uszczuplenie kwot uzyskanych z tego tytułu przez właściwy organ gminy. Należy mieć tutaj na względzie, iż wydawanie zaświadczeń z rejestru mieszkańców i Rejestru Stanu Cywilnego stanowi zadanie zlecone z zakresu administracji rządowej. Z tytułu jego realizacji właściwy organ gminy otrzymuje zatem dotację z budżetu państwa na pokrycie kosztów realizacji zadania. Jednocześnie jest również uprawniony do pobierania opłaty skarbowej za wydanie takiego  dokumentu, która to opłata także ma na celu pokrycie kosztów obsługi zdarzenia. Wprowadzenie usługi pobrania zaświadczeń o których mowa powyżej zmniejsza zatem liczbę czynności realizowanych przez urzędników, jak również eliminuje podwójną odpłatność ze strony </w:t>
            </w:r>
            <w:r w:rsidRPr="00FD3E92">
              <w:rPr>
                <w:rFonts w:ascii="Times New Roman" w:eastAsia="Calibri" w:hAnsi="Times New Roman" w:cs="Times New Roman"/>
                <w:sz w:val="21"/>
                <w:szCs w:val="21"/>
              </w:rPr>
              <w:lastRenderedPageBreak/>
              <w:t>budżetu państwa (dotacja) oraz obywatela (opłata skarbowa) za dokonanie tej samej czynności.  Jednocześnie zdarzenia takie nie generują po stronie organów gmin kosztu (czas i praca), a zatem nie jest zasadne pobieranie opłaty skarbowej. Zyskiem urzędu jest w tym przypadku oszczędność czasu związana z obsługą wniosku. Brak wpływu z opłat skarbowych skorelowany jest zatem z brakiem ponoszonego przez organ gminy kosztu, a zatem bilans jest dla organu gminy neutralny. Pomimo to w tabeli wskazano prognozowane wartości dotyczące utraty dochodu z tytułu opłaty skarbowej.</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Projektowana zmiana mająca na celu umożliwienie opatrywania odpisów skróconych aktów urodzenia wydawanych z urzędu na skutek elektronicznego zgłoszenia urodzenia dziecka nie pociąga za sobą kosztów w obszarze budżetu Państwa. Zmiana ta jest jednym z wielu elementów modyfikacji usługi zgłoszenia urodzenia dziecka, który realizowany jest również w ramach w ramach Programu Operacyjnego Polska Cyfrowa działanie 2.1 Wysoka dostępność i jakość e-usług publicznych Projekt Rozwój Systemu Rejestrów Państwowych. Modyfikacja usługi zgłoszenia urodzenia dziecka obejmująca wiele innych elementów nie wymaga, poza tym jednym wyjątkiem zmian prawnych lecz wyłącznie technicznych. Koszt prac obejmuje zatem całokształt modyfikacji zgłoszenia urodzenia dziecka, a nie tylko jego pojedynczego elementu w postaci zastosowania pieczęci ministra właściwego do spraw informatyzacji, która wykorzystywana jest już również w innych usługach.</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sz w:val="21"/>
                <w:szCs w:val="21"/>
              </w:rPr>
              <w:t>Kwoty wydatków prezentowane w tabeli zostały przeliczone przy zastosowaniu wskaźników makroekonomicznych, określonych w Wytycznych dotyczących stosowania jednolitych wskaźników makroekonomicznych będących podstawą oszacowania skutków finansowych projektowanych ustaw. Uwzględniono wskaźnik inflacji. W wyniku uwzględnienia powyższego wskaźnika, a także utraty dochodów z tytułu opłaty skarbowej - w perspektywie 10 lat oszacowano całkowite koszty na 346 000 zł. Należy zauważyć, że większe niż oszacowane wykorzystanie usług (szczególnie tych, w ramach realizacji których nie pobiera się opłaty skarbowej) oznaczać będzie większe oszczędności dla budżetu w szacowanej perspektywie.</w:t>
            </w:r>
          </w:p>
        </w:tc>
      </w:tr>
      <w:tr w:rsidR="0092755C" w:rsidTr="00290E02">
        <w:trPr>
          <w:gridAfter w:val="1"/>
          <w:wAfter w:w="10" w:type="dxa"/>
          <w:trHeight w:val="345"/>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120" w:after="120" w:line="240" w:lineRule="auto"/>
              <w:jc w:val="both"/>
              <w:rPr>
                <w:rFonts w:ascii="Times New Roman" w:eastAsia="Calibri" w:hAnsi="Times New Roman" w:cs="Times New Roman"/>
                <w:b/>
                <w:spacing w:val="-2"/>
              </w:rPr>
            </w:pPr>
            <w:r>
              <w:rPr>
                <w:rFonts w:ascii="Times New Roman" w:eastAsia="Calibri" w:hAnsi="Times New Roman" w:cs="Times New Roman"/>
                <w:b/>
                <w:spacing w:val="-2"/>
              </w:rPr>
              <w:lastRenderedPageBreak/>
              <w:t xml:space="preserve">Wpływ na </w:t>
            </w:r>
            <w:r>
              <w:rPr>
                <w:rFonts w:ascii="Times New Roman" w:eastAsia="Calibri" w:hAnsi="Times New Roman" w:cs="Times New Roman"/>
                <w:b/>
              </w:rPr>
              <w:t xml:space="preserve">konkurencyjność gospodarki i przedsiębiorczość, w tym funkcjonowanie przedsiębiorców oraz na rodzinę, obywateli i gospodarstwa domowe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Skutki</w:t>
            </w:r>
          </w:p>
        </w:tc>
      </w:tr>
      <w:tr w:rsidR="0092755C" w:rsidTr="00290E02">
        <w:trPr>
          <w:gridAfter w:val="1"/>
          <w:wAfter w:w="10" w:type="dxa"/>
          <w:trHeight w:val="142"/>
          <w:jc w:val="center"/>
        </w:trPr>
        <w:tc>
          <w:tcPr>
            <w:tcW w:w="388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i/>
                <w:spacing w:val="-2"/>
                <w:sz w:val="21"/>
                <w:szCs w:val="21"/>
              </w:rPr>
              <w:t>Łącznie (0-10)</w:t>
            </w:r>
          </w:p>
        </w:tc>
      </w:tr>
      <w:tr w:rsidR="0092755C" w:rsidTr="00290E02">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Times New Roman" w:eastAsia="Calibri" w:hAnsi="Times New Roman" w:cs="Times New Roman"/>
                <w:sz w:val="21"/>
                <w:szCs w:val="21"/>
              </w:rPr>
            </w:pPr>
            <w:r>
              <w:rPr>
                <w:rFonts w:ascii="Times New Roman" w:eastAsia="Calibri" w:hAnsi="Times New Roman" w:cs="Times New Roman"/>
                <w:sz w:val="21"/>
                <w:szCs w:val="21"/>
              </w:rPr>
              <w:t>W ujęciu pieniężnym</w:t>
            </w:r>
          </w:p>
          <w:p w:rsidR="0092755C" w:rsidRDefault="0092755C" w:rsidP="00290E02">
            <w:pPr>
              <w:spacing w:after="0" w:line="276"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 xml:space="preserve">(w mln zł, </w:t>
            </w:r>
          </w:p>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pacing w:val="-2"/>
                <w:sz w:val="21"/>
                <w:szCs w:val="21"/>
              </w:rPr>
              <w:t>ceny stałe z …… r.)</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0</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0</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rodzina, obywatele oraz gospodarstwa 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0,482</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0,725</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7,732</w:t>
            </w:r>
          </w:p>
        </w:tc>
      </w:tr>
      <w:tr w:rsidR="0092755C" w:rsidTr="00290E02">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W ujęciu niepieniężnym</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duże przedsiębiorstwa</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Brak</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sektor mikro-, małych i średnich przedsiębiorstw</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Brak</w:t>
            </w:r>
          </w:p>
        </w:tc>
      </w:tr>
      <w:tr w:rsidR="0092755C" w:rsidTr="00290E02">
        <w:trPr>
          <w:gridAfter w:val="1"/>
          <w:wAfter w:w="10" w:type="dxa"/>
          <w:trHeight w:val="5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tabs>
                <w:tab w:val="right" w:pos="1936"/>
              </w:tabs>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obywatele oraz gospodarstwa domowe </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Skrócenie czasu uzyskania dokumentów i rejestracji zdarzeń – pozyskanie dokumentu lub rejestracja zdarzenia nastąpi od razu. Transparentność działań w obszarze udostępniania danych z rejestru PESEL i Rejestru Dowodów Osobistych.</w:t>
            </w:r>
          </w:p>
        </w:tc>
      </w:tr>
      <w:tr w:rsidR="0092755C" w:rsidTr="00290E02">
        <w:trPr>
          <w:gridAfter w:val="1"/>
          <w:wAfter w:w="10" w:type="dxa"/>
          <w:trHeight w:val="142"/>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Niemierzalne</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Uprawnione podmioty gospodarcze (prywatne i publiczne)</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Wnioskowanie w drodze elektronicznej przez zainteresowane podmioty o dostęp do rejestrów państwowych w drodze weryfikacji (PESEL) i ograniczonej teletransmisji (RDO) i uzyskanie go, pozwala na szybsze uzyskanie dostępu umożliwiającego weryfikację posiadanych danych kontrahentów z widniejącymi w rejestrach i ułatwia realizację umów i wykonywanie zadań własnych.</w:t>
            </w:r>
          </w:p>
        </w:tc>
      </w:tr>
      <w:tr w:rsidR="0092755C" w:rsidTr="00290E02">
        <w:trPr>
          <w:gridAfter w:val="1"/>
          <w:wAfter w:w="10" w:type="dxa"/>
          <w:trHeight w:val="1643"/>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Dodatkowe informacje, w tym wskazanie źródeł danych i przyjętych do obliczeń założeń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Default="0092755C" w:rsidP="00290E02">
            <w:p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Projekt ustawy nie ma wpływu na konkurencyjność gospodarki i przedsiębiorczość, w tym funkcjonowanie przedsiębiorców. Projekt nie wpłynie na sytuację ekonomiczną i pozytywnie wpłynie na sytuację obywateli oraz podmiotów zainteresowanych uzyskaniem dostępu do rejestrów państwowych. Nowe usługi pozwolą na przyspieszenie realizacji spraw, ograniczenie prowadzenia korespondencji w formie papierowej oraz pozwolą na uniknięcie błędów związanych z brakiem znajomości procedur załatwiania spraw urzędowych.</w:t>
            </w:r>
          </w:p>
          <w:p w:rsidR="0092755C" w:rsidRDefault="0092755C" w:rsidP="00290E02">
            <w:pPr>
              <w:spacing w:after="0" w:line="240" w:lineRule="auto"/>
              <w:jc w:val="both"/>
              <w:rPr>
                <w:rFonts w:ascii="Times New Roman" w:eastAsia="Calibri" w:hAnsi="Times New Roman" w:cs="Times New Roman"/>
                <w:sz w:val="21"/>
                <w:szCs w:val="21"/>
              </w:rPr>
            </w:pPr>
          </w:p>
          <w:p w:rsidR="0092755C" w:rsidRDefault="0092755C" w:rsidP="00290E02">
            <w:p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W skutkach finansowych dla rodzin, obywateli oraz gospodarstw domowych wskazano przewidywane oszczędności z tytułu opłaty skarbowej, która nie będzie musiała zostać poniesiona. Za podstawę szacunków przyjęto zaświadczenia o stanie cywilnym (300) oraz zaświadczenia o danych własnych z rejestru PESEL (42 000). Oszczędności po stronie obywateli z tytułu opłaty skarbowej zostały jednocześnie wykazane jako utrata dochodów przez jednostki samorządu terytorialnego, które nie poniosą kosztu realizacji zadania.</w:t>
            </w:r>
          </w:p>
        </w:tc>
      </w:tr>
      <w:tr w:rsidR="0092755C" w:rsidTr="00290E02">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lastRenderedPageBreak/>
              <w:t xml:space="preserve"> Zmiana obciążeń regulacyjnych (w tym obowiązków informacyjnych) wynikających z projektu</w:t>
            </w:r>
          </w:p>
        </w:tc>
      </w:tr>
      <w:tr w:rsidR="0092755C" w:rsidTr="00290E02">
        <w:trPr>
          <w:gridAfter w:val="1"/>
          <w:wAfter w:w="10" w:type="dxa"/>
          <w:trHeight w:val="151"/>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w:t>
            </w:r>
            <w:r>
              <w:rPr>
                <w:rFonts w:ascii="Times New Roman" w:eastAsia="Calibri" w:hAnsi="Times New Roman" w:cs="Times New Roman"/>
                <w:spacing w:val="-2"/>
              </w:rPr>
              <w:t>nie dotyczy</w:t>
            </w:r>
          </w:p>
        </w:tc>
      </w:tr>
      <w:tr w:rsidR="0092755C" w:rsidTr="00290E02">
        <w:trPr>
          <w:gridAfter w:val="1"/>
          <w:wAfter w:w="10" w:type="dxa"/>
          <w:trHeight w:val="946"/>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Times New Roman" w:eastAsia="Calibri" w:hAnsi="Times New Roman" w:cs="Times New Roman"/>
                <w:spacing w:val="-2"/>
              </w:rPr>
            </w:pPr>
            <w:r>
              <w:rPr>
                <w:rFonts w:ascii="Times New Roman" w:eastAsia="Calibri" w:hAnsi="Times New Roman" w:cs="Times New Roman"/>
                <w:spacing w:val="-2"/>
              </w:rPr>
              <w:t xml:space="preserve">Wprowadzane są obciążenia poza bezwzględnie wymaganymi przez UE </w:t>
            </w:r>
            <w:r>
              <w:rPr>
                <w:rFonts w:ascii="Times New Roman" w:eastAsia="Calibri" w:hAnsi="Times New Roman" w:cs="Times New Roman"/>
              </w:rPr>
              <w:t>(szczegóły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tak</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w:t>
            </w:r>
          </w:p>
          <w:p w:rsidR="0092755C" w:rsidRDefault="0092755C" w:rsidP="00290E02">
            <w:pPr>
              <w:spacing w:after="0" w:line="276"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 dotyczy</w:t>
            </w:r>
          </w:p>
        </w:tc>
      </w:tr>
      <w:tr w:rsidR="0092755C" w:rsidTr="00290E02">
        <w:trPr>
          <w:gridAfter w:val="1"/>
          <w:wAfter w:w="10" w:type="dxa"/>
          <w:trHeight w:val="1245"/>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 xml:space="preserve">zmniejszenie liczby dokumentów </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zmniejszenie liczby procedur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skrócenie czasu na załatwienie sprawy</w:t>
            </w:r>
          </w:p>
          <w:p w:rsidR="0092755C" w:rsidRDefault="0092755C" w:rsidP="00290E02">
            <w:pPr>
              <w:spacing w:after="0" w:line="276" w:lineRule="auto"/>
              <w:rPr>
                <w:rFonts w:ascii="Times New Roman" w:eastAsia="Calibri" w:hAnsi="Times New Roman" w:cs="Times New Roman"/>
                <w:b/>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inne: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zwiększenie liczby dokumentów</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zwiększenie liczby procedur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wydłużenie czasu na załatwienie sprawy</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inne: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p w:rsidR="0092755C" w:rsidRDefault="0092755C" w:rsidP="00290E02">
            <w:pPr>
              <w:spacing w:after="0" w:line="240" w:lineRule="auto"/>
              <w:rPr>
                <w:rFonts w:ascii="Times New Roman" w:eastAsia="Calibri" w:hAnsi="Times New Roman" w:cs="Times New Roman"/>
              </w:rPr>
            </w:pPr>
          </w:p>
        </w:tc>
      </w:tr>
      <w:tr w:rsidR="0092755C" w:rsidTr="00290E02">
        <w:trPr>
          <w:gridAfter w:val="1"/>
          <w:wAfter w:w="10" w:type="dxa"/>
          <w:trHeight w:val="870"/>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spacing w:val="-2"/>
              </w:rPr>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tak</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 dotyczy</w:t>
            </w:r>
          </w:p>
          <w:p w:rsidR="0092755C" w:rsidRDefault="0092755C" w:rsidP="00290E02">
            <w:pPr>
              <w:spacing w:after="0" w:line="240" w:lineRule="auto"/>
              <w:rPr>
                <w:rFonts w:ascii="Times New Roman" w:eastAsia="Calibri" w:hAnsi="Times New Roman" w:cs="Times New Roman"/>
              </w:rPr>
            </w:pPr>
          </w:p>
        </w:tc>
      </w:tr>
      <w:tr w:rsidR="0092755C" w:rsidTr="00290E02">
        <w:trPr>
          <w:gridAfter w:val="1"/>
          <w:wAfter w:w="10" w:type="dxa"/>
          <w:trHeight w:val="630"/>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Komentarz:</w:t>
            </w:r>
          </w:p>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Projektowane zmiany mają na celu umożliwienie załatwiania części spraw obywatelskich oraz wnioskowania w zakresie realizacji uprawnień ustawowych również w formie elektronicznej przy użyciu dedykowanych usług (w tym transakcyjnie). Korzystanie z nich pozwoli na zmniejszenie ilości dokumentacji papierowej, przyspieszy załatwianie spraw i wyeliminuje konieczność osobistej wizyty w urzędzie. Redukcji ulegną też obciążenia finansowe związane z korespondencją realizowaną w formie papierowej oraz zmniejszy się ilość zadań realizowanych obecnie przez część urzędów.</w:t>
            </w:r>
          </w:p>
          <w:p w:rsidR="0092755C" w:rsidRDefault="0092755C" w:rsidP="00290E02">
            <w:pPr>
              <w:spacing w:after="0" w:line="276"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jc w:val="both"/>
              <w:rPr>
                <w:rFonts w:ascii="Times New Roman" w:eastAsia="Calibri" w:hAnsi="Times New Roman" w:cs="Times New Roman"/>
                <w:b/>
              </w:rPr>
            </w:pPr>
            <w:r>
              <w:rPr>
                <w:rFonts w:ascii="Times New Roman" w:eastAsia="Calibri" w:hAnsi="Times New Roman" w:cs="Times New Roman"/>
                <w:b/>
              </w:rPr>
              <w:t xml:space="preserve">Wpływ na rynek pracy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Projekt nie ma wpływu na rynek pracy.</w:t>
            </w:r>
          </w:p>
          <w:p w:rsidR="0092755C" w:rsidRDefault="0092755C" w:rsidP="00290E02">
            <w:pPr>
              <w:spacing w:after="0" w:line="240"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jc w:val="both"/>
              <w:rPr>
                <w:rFonts w:ascii="Times New Roman" w:eastAsia="Calibri" w:hAnsi="Times New Roman" w:cs="Times New Roman"/>
                <w:b/>
              </w:rPr>
            </w:pPr>
            <w:r>
              <w:rPr>
                <w:rFonts w:ascii="Times New Roman" w:eastAsia="Calibri" w:hAnsi="Times New Roman" w:cs="Times New Roman"/>
                <w:b/>
              </w:rPr>
              <w:t>Wpływ na pozostałe obszary</w:t>
            </w:r>
          </w:p>
        </w:tc>
      </w:tr>
      <w:tr w:rsidR="0092755C" w:rsidTr="00290E02">
        <w:trPr>
          <w:gridAfter w:val="1"/>
          <w:wAfter w:w="10" w:type="dxa"/>
          <w:trHeight w:val="1031"/>
          <w:jc w:val="center"/>
        </w:trPr>
        <w:tc>
          <w:tcPr>
            <w:tcW w:w="35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środowisko naturalne</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rPr>
              <w:t>sytuacja i rozwój regionalny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 xml:space="preserve">inne: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demografia</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rPr>
              <w:t>mienie państwowe</w:t>
            </w:r>
          </w:p>
        </w:tc>
        <w:tc>
          <w:tcPr>
            <w:tcW w:w="370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informatyzacja</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BD647C">
              <w:rPr>
                <w:rFonts w:ascii="Times New Roman" w:eastAsia="Calibri" w:hAnsi="Times New Roman" w:cs="Times New Roman"/>
              </w:rPr>
            </w:r>
            <w:r w:rsidR="00BD647C">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zdrowie</w:t>
            </w:r>
          </w:p>
        </w:tc>
      </w:tr>
      <w:tr w:rsidR="0092755C" w:rsidTr="00290E02">
        <w:trPr>
          <w:gridAfter w:val="1"/>
          <w:wAfter w:w="10" w:type="dxa"/>
          <w:trHeight w:val="712"/>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t>Omówienie wpływu</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Default="00A068DF"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Wpływ na informatyzację</w:t>
            </w:r>
            <w:r w:rsidR="0092755C">
              <w:rPr>
                <w:rFonts w:ascii="Times New Roman" w:eastAsia="Calibri" w:hAnsi="Times New Roman" w:cs="Times New Roman"/>
                <w:spacing w:val="-2"/>
              </w:rPr>
              <w:t xml:space="preserve"> polega na wykorzystaniu dostępnych narzędzi technologicznych (pieczęć elektroniczna) oraz zasobów rejestrów państwowych (integracja z zasobem informacyjnym systemu ksiąg wieczystych w ramach usługi zameldowania) i wykorzystania ich dla zmniejszenia liczby dokumentów (również elektronicznych) i skrócenia czasu realizacji poszczególnych zadań. Usługi dotyczące możliwości pobrania dokumentu o podmiotach, którym udostępniono dane wpływa na transparentność przetwarzania danych w rejestrach publicznych</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sz w:val="21"/>
                <w:szCs w:val="21"/>
              </w:rPr>
              <w:t>Planowane wykonanie przepisów aktu prawnego</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Z dniem wejścia w życie ustawy (</w:t>
            </w:r>
            <w:r w:rsidR="00A068DF">
              <w:rPr>
                <w:rFonts w:ascii="Times New Roman" w:eastAsia="Calibri" w:hAnsi="Times New Roman" w:cs="Times New Roman"/>
                <w:spacing w:val="-2"/>
              </w:rPr>
              <w:t>14 stycznia 2022</w:t>
            </w:r>
            <w:r>
              <w:rPr>
                <w:rFonts w:ascii="Times New Roman" w:eastAsia="Calibri" w:hAnsi="Times New Roman" w:cs="Times New Roman"/>
                <w:spacing w:val="-2"/>
              </w:rPr>
              <w:t xml:space="preserve"> r.) możliwe będzie techniczne uruchomienie możliwości opatrywania pieczęcią elektroniczną ministra właściwego do spraw informatyzacji odpisu skróconego aktu urodzenia wydawanego z urzędu na skutek elektronicznego zgłoszenia urodzenia. Pozostałe zmiany wejdą w życie zgodnie z planowanymi terminami technicznego wdrożenia poszczególnych usług tj. w I, II i III kwartale 2022 r.</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spacing w:val="-2"/>
                <w:sz w:val="21"/>
                <w:szCs w:val="21"/>
              </w:rPr>
              <w:t>W jaki sposób i kiedy nastąpi ewaluacja efektów projektu oraz jakie mierniki zostaną zastosowane?</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Dla poszczególnych usług zakłada się ewaluację po pół roku od ich wdrożenia a następnie co pół roku przez okres dwóch lat. Zastosowany miernik: liczba wniesionych przy użyciu usług zgłoszeń, pobranych zaświadczeń i dokumentów</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spacing w:val="-2"/>
              </w:rPr>
            </w:pPr>
            <w:r>
              <w:rPr>
                <w:rFonts w:ascii="Times New Roman" w:eastAsia="Calibri" w:hAnsi="Times New Roman" w:cs="Times New Roman"/>
                <w:b/>
                <w:spacing w:val="-2"/>
              </w:rPr>
              <w:t xml:space="preserve">Załączniki </w:t>
            </w:r>
            <w:r>
              <w:rPr>
                <w:rFonts w:ascii="Times New Roman" w:eastAsia="Calibri" w:hAnsi="Times New Roman" w:cs="Times New Roman"/>
                <w:b/>
                <w:spacing w:val="-2"/>
                <w:sz w:val="21"/>
                <w:szCs w:val="21"/>
              </w:rPr>
              <w:t>(istotne dokumenty źródłowe, badania, analizy itp.</w:t>
            </w:r>
            <w:r>
              <w:rPr>
                <w:rFonts w:ascii="Times New Roman" w:eastAsia="Calibri" w:hAnsi="Times New Roman" w:cs="Times New Roman"/>
                <w:b/>
                <w:spacing w:val="-2"/>
              </w:rPr>
              <w:t xml:space="preserv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Brak</w:t>
            </w:r>
          </w:p>
        </w:tc>
      </w:tr>
    </w:tbl>
    <w:p w:rsidR="00313026" w:rsidRDefault="00313026"/>
    <w:sectPr w:rsidR="00313026" w:rsidSect="0092755C">
      <w:pgSz w:w="11906" w:h="16838"/>
      <w:pgMar w:top="28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79E"/>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E67DC"/>
    <w:multiLevelType w:val="hybridMultilevel"/>
    <w:tmpl w:val="51DA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50F7"/>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BE14BE"/>
    <w:multiLevelType w:val="hybridMultilevel"/>
    <w:tmpl w:val="CA745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3B"/>
    <w:rsid w:val="00313026"/>
    <w:rsid w:val="0092755C"/>
    <w:rsid w:val="00A068DF"/>
    <w:rsid w:val="00A45A3B"/>
    <w:rsid w:val="00B96FC5"/>
    <w:rsid w:val="00BD647C"/>
    <w:rsid w:val="00FD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00FC-EA3B-4970-B4D7-FE865DD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5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3762</Words>
  <Characters>22573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Idzikowski Piotr</dc:creator>
  <cp:keywords/>
  <dc:description/>
  <cp:lastModifiedBy>Hebda Teresa</cp:lastModifiedBy>
  <cp:revision>2</cp:revision>
  <dcterms:created xsi:type="dcterms:W3CDTF">2021-04-06T11:44:00Z</dcterms:created>
  <dcterms:modified xsi:type="dcterms:W3CDTF">2021-04-06T11:44:00Z</dcterms:modified>
</cp:coreProperties>
</file>