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CF7" w:rsidRPr="00EC7D91" w:rsidRDefault="003532B5" w:rsidP="00EC7D91">
      <w:pPr>
        <w:pStyle w:val="DATAAKTUdatauchwalenialubwydaniaaktu"/>
        <w:spacing w:line="276" w:lineRule="auto"/>
        <w:rPr>
          <w:rFonts w:ascii="Times New Roman" w:hAnsi="Times New Roman" w:cs="Times New Roman"/>
          <w:b/>
          <w:bCs w:val="0"/>
        </w:rPr>
      </w:pPr>
      <w:bookmarkStart w:id="0" w:name="_GoBack"/>
      <w:bookmarkEnd w:id="0"/>
      <w:r>
        <w:rPr>
          <w:rFonts w:ascii="Times New Roman" w:hAnsi="Times New Roman" w:cs="Times New Roman"/>
          <w:b/>
          <w:bCs w:val="0"/>
        </w:rPr>
        <w:t>Uzasadnienie</w:t>
      </w:r>
    </w:p>
    <w:p w:rsidR="00D82CF7" w:rsidRPr="00EC7D91" w:rsidRDefault="00D82CF7" w:rsidP="00EC7D91">
      <w:pPr>
        <w:pStyle w:val="TYTUAKTUprzedmiotregulacjiustawylubrozporzdzenia"/>
        <w:spacing w:after="0" w:line="276" w:lineRule="auto"/>
        <w:ind w:firstLine="510"/>
        <w:jc w:val="both"/>
        <w:rPr>
          <w:rFonts w:ascii="Times New Roman" w:hAnsi="Times New Roman" w:cs="Times New Roman"/>
          <w:b w:val="0"/>
        </w:rPr>
      </w:pPr>
      <w:r w:rsidRPr="00EC7D91">
        <w:rPr>
          <w:rFonts w:ascii="Times New Roman" w:hAnsi="Times New Roman" w:cs="Times New Roman"/>
          <w:b w:val="0"/>
        </w:rPr>
        <w:t xml:space="preserve">Celem projektowanej uchwały jest zmiana uchwały </w:t>
      </w:r>
      <w:r w:rsidR="00080595" w:rsidRPr="00EC7D91">
        <w:rPr>
          <w:rFonts w:ascii="Times New Roman" w:hAnsi="Times New Roman" w:cs="Times New Roman"/>
          <w:b w:val="0"/>
        </w:rPr>
        <w:t xml:space="preserve">Nr </w:t>
      </w:r>
      <w:r w:rsidRPr="00EC7D91">
        <w:rPr>
          <w:rFonts w:ascii="Times New Roman" w:hAnsi="Times New Roman" w:cs="Times New Roman"/>
          <w:b w:val="0"/>
        </w:rPr>
        <w:t>82 Rady Ministrów z dnia 13</w:t>
      </w:r>
      <w:r w:rsidR="00EC7D91" w:rsidRPr="00EC7D91">
        <w:rPr>
          <w:rFonts w:ascii="Times New Roman" w:hAnsi="Times New Roman" w:cs="Times New Roman"/>
          <w:b w:val="0"/>
        </w:rPr>
        <w:t> </w:t>
      </w:r>
      <w:r w:rsidRPr="00EC7D91">
        <w:rPr>
          <w:rFonts w:ascii="Times New Roman" w:hAnsi="Times New Roman" w:cs="Times New Roman"/>
          <w:b w:val="0"/>
        </w:rPr>
        <w:t xml:space="preserve">sierpnia 2019 r. w sprawie „Krajowego programu ochrony zabytków i opieki nad zabytkami na lata 2019–2022” (M.P. poz. 808). </w:t>
      </w:r>
    </w:p>
    <w:p w:rsidR="00D82CF7" w:rsidRPr="00EC7D91" w:rsidRDefault="00D82CF7" w:rsidP="00EC7D91">
      <w:pPr>
        <w:pStyle w:val="ARTartustawynprozporzdzenia"/>
        <w:spacing w:line="276" w:lineRule="auto"/>
        <w:rPr>
          <w:rFonts w:ascii="Times New Roman" w:hAnsi="Times New Roman" w:cs="Times New Roman"/>
          <w:b/>
          <w:szCs w:val="24"/>
        </w:rPr>
      </w:pPr>
      <w:r w:rsidRPr="00EC7D91">
        <w:rPr>
          <w:rFonts w:ascii="Times New Roman" w:hAnsi="Times New Roman" w:cs="Times New Roman"/>
          <w:szCs w:val="24"/>
        </w:rPr>
        <w:t xml:space="preserve">Projektowane zmiany Programu obejmują korektę planu finansowego programu, modyfikację wskaźników jego realizacji oraz zmiany opisu trzech zadań. Korekta planu finansowego polegać będzie na zwiększeniu budżetu programu i przyjęciu nowego podziału ogólnej kwoty środków z budżetu państwa przeznaczonych na jego realizację na poszczególne lata budżetowe. </w:t>
      </w:r>
      <w:r w:rsidRPr="00EC7D91">
        <w:rPr>
          <w:rFonts w:ascii="Times New Roman" w:hAnsi="Times New Roman" w:cs="Times New Roman"/>
          <w:bCs/>
          <w:szCs w:val="24"/>
        </w:rPr>
        <w:t xml:space="preserve">Ogólna kwota środków z budżetu państwa w całym okresie realizacji Programu ulegnie zwiększeniu o kwotę 1 600 000 zł z kwoty 25 617 089 zł do kwoty 27 217 089 zł. Ponadto, wydatki z budżetu państwa na realizację Programu zostaną zwiększone o kwotę niewykorzystanych w roku 2019 (1 156 424,94) i 2020 (2 064 400,00) środków budżetowych, odpowiednio: w roku 2021 o 1 740 888,94 zł a w roku 2022 o 1 479 936,00 zł. </w:t>
      </w:r>
    </w:p>
    <w:p w:rsidR="00D82CF7" w:rsidRPr="00EC7D91" w:rsidRDefault="00D82CF7" w:rsidP="00EC7D91">
      <w:pPr>
        <w:pStyle w:val="ARTartustawynprozporzdzenia"/>
        <w:spacing w:before="0" w:line="276" w:lineRule="auto"/>
        <w:rPr>
          <w:rFonts w:ascii="Times New Roman" w:hAnsi="Times New Roman" w:cs="Times New Roman"/>
          <w:szCs w:val="24"/>
        </w:rPr>
      </w:pPr>
      <w:r w:rsidRPr="00EC7D91">
        <w:rPr>
          <w:rFonts w:ascii="Times New Roman" w:hAnsi="Times New Roman" w:cs="Times New Roman"/>
          <w:szCs w:val="24"/>
        </w:rPr>
        <w:t xml:space="preserve">Projekt przewiduje następujące modyfikacje wskaźników realizacji Programu: </w:t>
      </w:r>
    </w:p>
    <w:p w:rsidR="00D82CF7" w:rsidRPr="00EC7D91" w:rsidRDefault="00D82CF7" w:rsidP="00EC7D91">
      <w:pPr>
        <w:pStyle w:val="ARTartustawynprozporzdzenia"/>
        <w:spacing w:before="0" w:line="276" w:lineRule="auto"/>
        <w:ind w:firstLine="0"/>
        <w:rPr>
          <w:rFonts w:ascii="Times New Roman" w:hAnsi="Times New Roman" w:cs="Times New Roman"/>
          <w:szCs w:val="24"/>
        </w:rPr>
      </w:pPr>
      <w:r w:rsidRPr="00EC7D91">
        <w:rPr>
          <w:rFonts w:ascii="Times New Roman" w:hAnsi="Times New Roman" w:cs="Times New Roman"/>
          <w:szCs w:val="24"/>
        </w:rPr>
        <w:t>1) We wskaźnikach pomocniczych i organizacyjnych:</w:t>
      </w:r>
    </w:p>
    <w:p w:rsidR="00D82CF7" w:rsidRPr="00EC7D91" w:rsidRDefault="00D82CF7" w:rsidP="00EC7D91">
      <w:pPr>
        <w:pStyle w:val="ARTartustawynprozporzdzenia"/>
        <w:spacing w:before="0" w:line="276" w:lineRule="auto"/>
        <w:ind w:firstLine="0"/>
        <w:rPr>
          <w:rFonts w:ascii="Times New Roman" w:hAnsi="Times New Roman" w:cs="Times New Roman"/>
          <w:szCs w:val="24"/>
        </w:rPr>
      </w:pPr>
      <w:r w:rsidRPr="00EC7D91">
        <w:rPr>
          <w:rFonts w:ascii="Times New Roman" w:hAnsi="Times New Roman" w:cs="Times New Roman"/>
          <w:szCs w:val="24"/>
        </w:rPr>
        <w:t xml:space="preserve">- nazwa wskaźnika: </w:t>
      </w:r>
      <w:r w:rsidRPr="00EC7D91">
        <w:rPr>
          <w:rFonts w:ascii="Times New Roman" w:hAnsi="Times New Roman" w:cs="Times New Roman"/>
          <w:i/>
          <w:iCs/>
          <w:szCs w:val="24"/>
        </w:rPr>
        <w:t xml:space="preserve">Przedłożenie i zaakceptowanie przez Ministra Kultury i Dziedzictwa Narodowego planu audytów, badań, analiz, konferencji i innych niezbędnych działań w latach 2020-2022, mających na celu stworzenie modelu systematycznego i elastycznego gromadzenia oraz analizowania danych, przede wszystkim statystycznych, z zakresu ochrony dziedzictwa kulturowego i opieki nad zabytkami oraz powiązania tej dziedziny z jak najszerszym kontekstem ekonomiczno-społecznym </w:t>
      </w:r>
      <w:r w:rsidRPr="00EC7D91">
        <w:rPr>
          <w:rFonts w:ascii="Times New Roman" w:hAnsi="Times New Roman" w:cs="Times New Roman"/>
          <w:szCs w:val="24"/>
        </w:rPr>
        <w:t>– zmiana</w:t>
      </w:r>
      <w:r w:rsidRPr="00EC7D91">
        <w:rPr>
          <w:rFonts w:ascii="Times New Roman" w:hAnsi="Times New Roman" w:cs="Times New Roman"/>
          <w:i/>
          <w:iCs/>
          <w:szCs w:val="24"/>
        </w:rPr>
        <w:t xml:space="preserve"> </w:t>
      </w:r>
      <w:r w:rsidRPr="00EC7D91">
        <w:rPr>
          <w:rFonts w:ascii="Times New Roman" w:hAnsi="Times New Roman" w:cs="Times New Roman"/>
          <w:szCs w:val="24"/>
        </w:rPr>
        <w:t>dat realizacji audytów, badań, analiz, konferencji i innych niezbędnych działań wynika z późnego uruchomienia Programu w roku 2019 oraz w</w:t>
      </w:r>
      <w:r w:rsidR="00EC7D91">
        <w:rPr>
          <w:rFonts w:ascii="Times New Roman" w:hAnsi="Times New Roman" w:cs="Times New Roman"/>
          <w:szCs w:val="24"/>
        </w:rPr>
        <w:t> </w:t>
      </w:r>
      <w:r w:rsidRPr="00EC7D91">
        <w:rPr>
          <w:rFonts w:ascii="Times New Roman" w:hAnsi="Times New Roman" w:cs="Times New Roman"/>
          <w:szCs w:val="24"/>
        </w:rPr>
        <w:t xml:space="preserve">konsekwencji opóźnienia realizacji Programu w roku 2020; </w:t>
      </w:r>
    </w:p>
    <w:p w:rsidR="00D82CF7" w:rsidRPr="00EC7D91" w:rsidRDefault="00D82CF7" w:rsidP="00EC7D91">
      <w:pPr>
        <w:spacing w:line="276" w:lineRule="auto"/>
        <w:jc w:val="both"/>
        <w:rPr>
          <w:rFonts w:eastAsiaTheme="minorEastAsia"/>
        </w:rPr>
      </w:pPr>
      <w:r w:rsidRPr="00EC7D91">
        <w:rPr>
          <w:rFonts w:eastAsiaTheme="minorEastAsia"/>
        </w:rPr>
        <w:t>2) w zadaniu: 1.1.2. Budowa zasobu wiedzy o ochronie dziedzictwa kulturowego na poziomie lokalnym, regionalnym i centralnym:</w:t>
      </w:r>
    </w:p>
    <w:p w:rsidR="00D82CF7" w:rsidRPr="00EC7D91" w:rsidRDefault="00D82CF7" w:rsidP="00EC7D91">
      <w:pPr>
        <w:spacing w:line="276" w:lineRule="auto"/>
        <w:jc w:val="both"/>
        <w:rPr>
          <w:rFonts w:eastAsiaTheme="minorEastAsia"/>
        </w:rPr>
      </w:pPr>
      <w:r w:rsidRPr="00EC7D91">
        <w:rPr>
          <w:rFonts w:eastAsiaTheme="minorEastAsia"/>
        </w:rPr>
        <w:t xml:space="preserve">- wartość wskaźnika </w:t>
      </w:r>
      <w:r w:rsidRPr="00EC7D91">
        <w:rPr>
          <w:rFonts w:eastAsiaTheme="minorEastAsia"/>
          <w:i/>
          <w:iCs/>
        </w:rPr>
        <w:t xml:space="preserve">Liczba opracowanych nowych, odrębnych materiałów informacyjnych na stronę internetową </w:t>
      </w:r>
      <w:hyperlink r:id="rId6" w:history="1">
        <w:r w:rsidRPr="00EC7D91">
          <w:rPr>
            <w:rFonts w:eastAsiaTheme="minorEastAsia"/>
            <w:i/>
            <w:iCs/>
          </w:rPr>
          <w:t>www.samorząd.nid.pl</w:t>
        </w:r>
      </w:hyperlink>
      <w:r w:rsidRPr="00EC7D91">
        <w:rPr>
          <w:rFonts w:eastAsiaTheme="minorEastAsia"/>
        </w:rPr>
        <w:t xml:space="preserve"> – zostanie zmniejszony - w roku 2020 z 50 do 40, a w</w:t>
      </w:r>
      <w:r w:rsidR="00EC7D91">
        <w:rPr>
          <w:rFonts w:eastAsiaTheme="minorEastAsia"/>
        </w:rPr>
        <w:t> </w:t>
      </w:r>
      <w:r w:rsidRPr="00EC7D91">
        <w:rPr>
          <w:rFonts w:eastAsiaTheme="minorEastAsia"/>
        </w:rPr>
        <w:t>roku 2021 z 85 do 70 – finalna wartość wskaźnika (120) nie ulega zmianie. Zmiana spowodowana jest weryfikacją harmonogramu prac nad portalem samorząd.nid.pl, zgodnie z</w:t>
      </w:r>
      <w:r w:rsidR="00EC7D91">
        <w:rPr>
          <w:rFonts w:eastAsiaTheme="minorEastAsia"/>
        </w:rPr>
        <w:t> </w:t>
      </w:r>
      <w:r w:rsidRPr="00EC7D91">
        <w:rPr>
          <w:rFonts w:eastAsiaTheme="minorEastAsia"/>
        </w:rPr>
        <w:t xml:space="preserve">którym w roku 2020 priorytetowym zadaniem była modernizacja portalu; </w:t>
      </w:r>
    </w:p>
    <w:p w:rsidR="00D82CF7" w:rsidRPr="00EC7D91" w:rsidRDefault="00D82CF7" w:rsidP="00EC7D91">
      <w:pPr>
        <w:spacing w:line="276" w:lineRule="auto"/>
        <w:jc w:val="both"/>
        <w:rPr>
          <w:rFonts w:eastAsiaTheme="minorEastAsia"/>
        </w:rPr>
      </w:pPr>
      <w:r w:rsidRPr="00EC7D91">
        <w:rPr>
          <w:rFonts w:eastAsiaTheme="minorEastAsia"/>
        </w:rPr>
        <w:t xml:space="preserve">- wartość wskaźnika </w:t>
      </w:r>
      <w:r w:rsidRPr="00EC7D91">
        <w:rPr>
          <w:rFonts w:eastAsiaTheme="minorEastAsia"/>
          <w:i/>
          <w:iCs/>
        </w:rPr>
        <w:t>Stopień realizacji planu zwiększania liczby odwiedzin strony internetowej www.samorząd.nid.pl do końca 2022, wyrażony w procentach</w:t>
      </w:r>
      <w:r w:rsidRPr="00EC7D91">
        <w:rPr>
          <w:rFonts w:eastAsiaTheme="minorEastAsia"/>
        </w:rPr>
        <w:t>, w roku 2020 wyniesie 0 zamiast planowanych 25 – finalna wartość wskaźnika (75) nie ulega zmianie. Zmiana spowodowana jest weryfikacją harmonogramu prac nad portalem samorząd.nid.pl, zgodnie z którym w roku 2020 priorytetowym zadaniem była modernizacja portalu;</w:t>
      </w:r>
    </w:p>
    <w:p w:rsidR="00D82CF7" w:rsidRPr="00EC7D91" w:rsidRDefault="00D82CF7" w:rsidP="00EC7D91">
      <w:pPr>
        <w:spacing w:line="276" w:lineRule="auto"/>
        <w:jc w:val="both"/>
        <w:rPr>
          <w:rFonts w:eastAsiaTheme="minorEastAsia"/>
        </w:rPr>
      </w:pPr>
      <w:r w:rsidRPr="00EC7D91">
        <w:rPr>
          <w:rFonts w:eastAsiaTheme="minorEastAsia"/>
        </w:rPr>
        <w:t xml:space="preserve">3) w zadaniu </w:t>
      </w:r>
      <w:r w:rsidRPr="00EC7D91">
        <w:t>1.1.3. Merytoryczne wsparcie procesu planowania i rewitalizacji w gminach</w:t>
      </w:r>
      <w:r w:rsidRPr="00EC7D91">
        <w:rPr>
          <w:rFonts w:eastAsiaTheme="minorEastAsia"/>
        </w:rPr>
        <w:t>:</w:t>
      </w:r>
    </w:p>
    <w:p w:rsidR="00D82CF7" w:rsidRPr="00EC7D91" w:rsidRDefault="00D82CF7" w:rsidP="00EC7D91">
      <w:pPr>
        <w:spacing w:line="276" w:lineRule="auto"/>
        <w:jc w:val="both"/>
        <w:rPr>
          <w:rFonts w:eastAsiaTheme="minorEastAsia"/>
        </w:rPr>
      </w:pPr>
      <w:r w:rsidRPr="00EC7D91">
        <w:rPr>
          <w:iCs/>
        </w:rPr>
        <w:t xml:space="preserve">- nazwa wskaźnika: </w:t>
      </w:r>
      <w:r w:rsidRPr="00EC7D91">
        <w:rPr>
          <w:i/>
          <w:iCs/>
        </w:rPr>
        <w:t>Liczba gmin, których przedstawiciele odbyli pilotażowe szkolenie NID w zakresie planowania i rewitalizacji</w:t>
      </w:r>
      <w:r w:rsidRPr="00EC7D91">
        <w:rPr>
          <w:iCs/>
        </w:rPr>
        <w:t xml:space="preserve"> zostanie zastąpiona nazwą: </w:t>
      </w:r>
      <w:r w:rsidRPr="00EC7D91">
        <w:rPr>
          <w:i/>
          <w:iCs/>
        </w:rPr>
        <w:t>Liczba jednostek samorządu terytorialnego, których przedstawiciele odbyli pilotażowe szkolenie NID w zakresie planowania i rewitalizacji –</w:t>
      </w:r>
      <w:r w:rsidRPr="00EC7D91">
        <w:t xml:space="preserve"> finalna wartość wskaźnika (8) nie uległa zmianie. Zmiana spowodowana została możliwością przeszkolenia w roku 2020 wyłącznie przedstawicieli urzędów marszałkowskich, które wspierają gminy w procesie </w:t>
      </w:r>
      <w:r w:rsidRPr="00EC7D91">
        <w:rPr>
          <w:color w:val="000000"/>
        </w:rPr>
        <w:t>rewitalizacji zasobu dziedzictwa kulturowego;</w:t>
      </w:r>
    </w:p>
    <w:p w:rsidR="00D82CF7" w:rsidRPr="00EC7D91" w:rsidRDefault="00D82CF7" w:rsidP="00EC7D91">
      <w:pPr>
        <w:spacing w:line="276" w:lineRule="auto"/>
        <w:jc w:val="both"/>
        <w:rPr>
          <w:rFonts w:eastAsiaTheme="minorEastAsia"/>
        </w:rPr>
      </w:pPr>
      <w:r w:rsidRPr="00EC7D91">
        <w:rPr>
          <w:rFonts w:eastAsiaTheme="minorEastAsia"/>
        </w:rPr>
        <w:lastRenderedPageBreak/>
        <w:t xml:space="preserve">- wartość wskaźnika </w:t>
      </w:r>
      <w:r w:rsidRPr="00EC7D91">
        <w:rPr>
          <w:rFonts w:eastAsiaTheme="minorEastAsia"/>
          <w:i/>
          <w:iCs/>
        </w:rPr>
        <w:t>liczba opracowanych w ramach pilotażu studiów ochrony wartości kulturowych w gminach</w:t>
      </w:r>
      <w:r w:rsidRPr="00EC7D91">
        <w:rPr>
          <w:rFonts w:eastAsiaTheme="minorEastAsia"/>
        </w:rPr>
        <w:t xml:space="preserve"> zostanie zmniejszona - w roku 2020 z 4 do 2, a w roku 2021 z 6 do 5 – finalna wartość wskaźnika (8) nie uległa zmianie. Realizacja wskaźnika w roku 2020 uzależniona była od uruchomienia w Oddziałach Terenowych NID  - Centrów Kompetencji ds. rewitalizacji, co nastąpiło w październiku 2020 r.</w:t>
      </w:r>
      <w:r w:rsidR="00EC7D91">
        <w:rPr>
          <w:rFonts w:eastAsiaTheme="minorEastAsia"/>
        </w:rPr>
        <w:t>,</w:t>
      </w:r>
      <w:r w:rsidRPr="00EC7D91">
        <w:rPr>
          <w:rFonts w:eastAsiaTheme="minorEastAsia"/>
        </w:rPr>
        <w:t xml:space="preserve"> oraz możliwości realizacji prac terenowych w sytuacji pandemii COVID-19; </w:t>
      </w:r>
    </w:p>
    <w:p w:rsidR="00D82CF7" w:rsidRPr="00EC7D91" w:rsidRDefault="00D82CF7" w:rsidP="00EC7D91">
      <w:pPr>
        <w:spacing w:line="276" w:lineRule="auto"/>
        <w:jc w:val="both"/>
      </w:pPr>
      <w:r w:rsidRPr="00EC7D91">
        <w:rPr>
          <w:rFonts w:eastAsiaTheme="minorEastAsia"/>
        </w:rPr>
        <w:t xml:space="preserve">- nazwa wskaźnika </w:t>
      </w:r>
      <w:r w:rsidRPr="00EC7D91">
        <w:rPr>
          <w:i/>
          <w:iCs/>
        </w:rPr>
        <w:t>Liczba opracowanych w ramach pilotażu studiów wartości zabytkowej obszarowych wpisów do rejestru zabytków pod kątem uwzględnienia ich w miejscowych planach zagospodarowania przestrzennego do końca 2022 r.</w:t>
      </w:r>
      <w:r w:rsidRPr="00EC7D91">
        <w:t xml:space="preserve"> zostanie zastąpiona nazwą </w:t>
      </w:r>
      <w:r w:rsidRPr="00EC7D91">
        <w:rPr>
          <w:i/>
          <w:iCs/>
        </w:rPr>
        <w:t xml:space="preserve">Liczba opracowanych w ramach pilotażu studiów ochrony wartości kulturowych obszarów zabytkowych pod kątem uwzględnienia ich w miejscowych planach zagospodarowania przestrzennego do końca 2022 r. </w:t>
      </w:r>
      <w:r w:rsidRPr="00EC7D91">
        <w:t>– Zmiana polega na doprecyzowaniu nazwy dokumentu, wskaźniki finalne nie uległy zmianie;</w:t>
      </w:r>
    </w:p>
    <w:p w:rsidR="00D82CF7" w:rsidRPr="00EC7D91" w:rsidRDefault="00D82CF7" w:rsidP="00EC7D91">
      <w:pPr>
        <w:spacing w:line="276" w:lineRule="auto"/>
        <w:ind w:firstLine="483"/>
        <w:jc w:val="both"/>
      </w:pPr>
      <w:r w:rsidRPr="00EC7D91">
        <w:t>Zadanie 1.1.3. otrzyma treść:</w:t>
      </w:r>
    </w:p>
    <w:p w:rsidR="00D82CF7" w:rsidRPr="00EC7D91" w:rsidRDefault="00D82CF7" w:rsidP="00EC7D91">
      <w:pPr>
        <w:pStyle w:val="PKTpunkt"/>
        <w:spacing w:line="276" w:lineRule="auto"/>
        <w:rPr>
          <w:rFonts w:ascii="Times New Roman" w:hAnsi="Times New Roman" w:cs="Times New Roman"/>
          <w:color w:val="000000"/>
          <w:szCs w:val="24"/>
        </w:rPr>
      </w:pPr>
      <w:r w:rsidRPr="00EC7D91">
        <w:rPr>
          <w:rStyle w:val="Pogrubienie"/>
          <w:rFonts w:ascii="Times New Roman" w:hAnsi="Times New Roman" w:cs="Times New Roman"/>
          <w:b w:val="0"/>
          <w:szCs w:val="24"/>
        </w:rPr>
        <w:t>„</w:t>
      </w:r>
      <w:r w:rsidRPr="00EC7D91">
        <w:rPr>
          <w:rFonts w:ascii="Times New Roman" w:hAnsi="Times New Roman" w:cs="Times New Roman"/>
          <w:szCs w:val="24"/>
        </w:rPr>
        <w:t xml:space="preserve">1.1.3. </w:t>
      </w:r>
      <w:r w:rsidRPr="00EC7D91">
        <w:rPr>
          <w:rFonts w:ascii="Times New Roman" w:hAnsi="Times New Roman" w:cs="Times New Roman"/>
          <w:color w:val="000000"/>
          <w:szCs w:val="24"/>
        </w:rPr>
        <w:t xml:space="preserve">Zadanie: </w:t>
      </w:r>
      <w:r w:rsidRPr="00EC7D91">
        <w:rPr>
          <w:rFonts w:ascii="Times New Roman" w:hAnsi="Times New Roman" w:cs="Times New Roman"/>
          <w:i/>
          <w:color w:val="000000"/>
          <w:szCs w:val="24"/>
        </w:rPr>
        <w:t>Merytoryczne wsparcie procesu planowania i rewitalizacji w gminach</w:t>
      </w:r>
      <w:r w:rsidRPr="00EC7D91">
        <w:rPr>
          <w:rFonts w:ascii="Times New Roman" w:hAnsi="Times New Roman" w:cs="Times New Roman"/>
          <w:color w:val="000000"/>
          <w:szCs w:val="24"/>
        </w:rPr>
        <w:t xml:space="preserve"> będzie realizowane w ramach czterech kierunków interwencji. W ramach pierwszego kierunku interwencji planuje się stworzenie w wybranych Oddziałach Terenowych Narodowego Instytutu Dziedzictwa centrów kompetencji ds. uwzględniania dziedzictwa kulturowego w procesach rewitalizacyjnych. Drugim kierunkiem interwencji będzie pilotaż szkoleń przedstawicieli wybranych jednostek samorządu terytorialnego wspierających, prowadzących lub planujących rewitalizację zasobu dziedzictwa kulturowego. Trzecim kierunkiem interwencji będzie wsparcie gmin tworzących lub aktualizujących gminne programy rewitalizacji lub zmieniających podstawę prawną prowadzonej rewitalizacji z</w:t>
      </w:r>
      <w:r w:rsidR="00EC7D91">
        <w:rPr>
          <w:rFonts w:ascii="Times New Roman" w:hAnsi="Times New Roman" w:cs="Times New Roman"/>
          <w:color w:val="000000"/>
          <w:szCs w:val="24"/>
        </w:rPr>
        <w:t> </w:t>
      </w:r>
      <w:r w:rsidRPr="00EC7D91">
        <w:rPr>
          <w:rFonts w:ascii="Times New Roman" w:hAnsi="Times New Roman" w:cs="Times New Roman"/>
          <w:color w:val="000000"/>
          <w:szCs w:val="24"/>
        </w:rPr>
        <w:t>lokalnych programów rozwoju na gminne programy rewitalizacji poprzez wspólne przeprowadzenie procesu identyfikacji dziedzictwa, szacowanie jego wartości i</w:t>
      </w:r>
      <w:r w:rsidR="00EC7D91">
        <w:rPr>
          <w:rFonts w:ascii="Times New Roman" w:hAnsi="Times New Roman" w:cs="Times New Roman"/>
          <w:color w:val="000000"/>
          <w:szCs w:val="24"/>
        </w:rPr>
        <w:t> </w:t>
      </w:r>
      <w:r w:rsidRPr="00EC7D91">
        <w:rPr>
          <w:rFonts w:ascii="Times New Roman" w:hAnsi="Times New Roman" w:cs="Times New Roman"/>
          <w:color w:val="000000"/>
          <w:szCs w:val="24"/>
        </w:rPr>
        <w:t>wskazanie właściwych sposobów jego ochrony i zagospodarowania w procesach rewitalizacyjnych. Czwartym kierunkiem interwencji będzie konkurs „Twój dom – dialog z tradycją”, z myślą o wsparciu procesów harmonijnego rozwoju i poprawy krajobrazu kulturowego. Celem konkursu będzie znalezienie i popularyzacja nowych wzorców zabudowy jednorodzinnej będących kontynuacją i nawiązaniem do form tradycyjnego budownictwa. Projekt konkursowy ma być przygotowany dla co najmniej trzech województw. Przed 2018 r. pilotażowy konkurs został z powodzeniem zrealizowany w Woj</w:t>
      </w:r>
      <w:r w:rsidR="00EC7D91">
        <w:rPr>
          <w:rFonts w:ascii="Times New Roman" w:hAnsi="Times New Roman" w:cs="Times New Roman"/>
          <w:color w:val="000000"/>
          <w:szCs w:val="24"/>
        </w:rPr>
        <w:t>ewództwie Warmińsko-Mazurskim.”</w:t>
      </w:r>
    </w:p>
    <w:p w:rsidR="00D82CF7" w:rsidRPr="00EC7D91" w:rsidRDefault="00D82CF7" w:rsidP="00EC7D91">
      <w:pPr>
        <w:spacing w:line="276" w:lineRule="auto"/>
        <w:jc w:val="both"/>
        <w:rPr>
          <w:i/>
          <w:iCs/>
        </w:rPr>
      </w:pPr>
      <w:r w:rsidRPr="00EC7D91">
        <w:t xml:space="preserve">Zmiana spowodowana została możliwością przeszkolenia w roku 2020 wyłącznie przedstawicieli urzędów marszałkowskich, które wspierają gminy w procesie </w:t>
      </w:r>
      <w:r w:rsidRPr="00EC7D91">
        <w:rPr>
          <w:color w:val="000000"/>
        </w:rPr>
        <w:t>rewitalizacji zasobu dziedzictwa kulturowego. Szkolenia gmin będą prowadzone od 2021 r.;</w:t>
      </w:r>
    </w:p>
    <w:p w:rsidR="00D82CF7" w:rsidRPr="00EC7D91" w:rsidRDefault="00D82CF7" w:rsidP="00EC7D91">
      <w:pPr>
        <w:spacing w:line="276" w:lineRule="auto"/>
        <w:rPr>
          <w:rFonts w:eastAsiaTheme="minorEastAsia"/>
        </w:rPr>
      </w:pPr>
      <w:r w:rsidRPr="00EC7D91">
        <w:rPr>
          <w:rFonts w:eastAsiaTheme="minorEastAsia"/>
        </w:rPr>
        <w:t>4) w zadaniu: 1.1.4. Konkurs Generalnego Konserwatora Zabytków:</w:t>
      </w:r>
    </w:p>
    <w:p w:rsidR="00D82CF7" w:rsidRPr="00EC7D91" w:rsidRDefault="00D82CF7" w:rsidP="00EC7D91">
      <w:pPr>
        <w:spacing w:line="276" w:lineRule="auto"/>
        <w:jc w:val="both"/>
      </w:pPr>
      <w:r w:rsidRPr="00EC7D91">
        <w:rPr>
          <w:rFonts w:eastAsiaTheme="minorEastAsia"/>
        </w:rPr>
        <w:t xml:space="preserve">- nazwa wskaźnika </w:t>
      </w:r>
      <w:r w:rsidRPr="00EC7D91">
        <w:rPr>
          <w:rFonts w:eastAsiaTheme="minorEastAsia"/>
          <w:i/>
          <w:iCs/>
        </w:rPr>
        <w:t>Opracowanie planu zwiększania w latach 2020-2022, w stosunku do poprzednich edycji, liczby i jakości zgłoszeń do konkursu Generalnego Konserwatora Zabytków, nagradzającego gminy za modelowe wdrażanie programów opieki nad zabytkami</w:t>
      </w:r>
      <w:r w:rsidRPr="00EC7D91">
        <w:rPr>
          <w:rFonts w:eastAsiaTheme="minorEastAsia"/>
        </w:rPr>
        <w:t xml:space="preserve"> </w:t>
      </w:r>
      <w:r w:rsidRPr="00EC7D91">
        <w:t xml:space="preserve">zostanie zastąpiona nazwą: </w:t>
      </w:r>
      <w:r w:rsidRPr="00EC7D91">
        <w:rPr>
          <w:i/>
          <w:iCs/>
        </w:rPr>
        <w:t>Opracowanie planu promocji konkursu Generalnego Konserwatora Zabytków, nagradzającego gminy za modelowe wdrażanie programów opieki nad zabytkami, mającego na celu wzrost w latach 2021-2022, w stosunku do poprzedniej edycji, liczby i jakości zgłoszeń do konkursu</w:t>
      </w:r>
      <w:r w:rsidRPr="00EC7D91">
        <w:t xml:space="preserve"> – zmiana polega na doprecyzowaniu opisu wskaźnika;</w:t>
      </w:r>
    </w:p>
    <w:p w:rsidR="00D82CF7" w:rsidRPr="00EC7D91" w:rsidRDefault="00D82CF7" w:rsidP="00EC7D91">
      <w:pPr>
        <w:spacing w:line="276" w:lineRule="auto"/>
        <w:jc w:val="both"/>
      </w:pPr>
      <w:r w:rsidRPr="00EC7D91">
        <w:lastRenderedPageBreak/>
        <w:t xml:space="preserve">- nazwa wskaźnika: </w:t>
      </w:r>
      <w:r w:rsidRPr="00EC7D91">
        <w:rPr>
          <w:i/>
          <w:iCs/>
        </w:rPr>
        <w:t>Stopień realizacji planu zwiększania liczby i jakości zgłoszeń do konkursu liczby i jakości zgłoszeń do konkursu Generalnego Konserwatora Zabytków nagradzającego gminy za modelowe wdrażanie programów opieki nad zabytkami, wyrażony w procentach</w:t>
      </w:r>
      <w:r w:rsidRPr="00EC7D91">
        <w:t xml:space="preserve"> zostanie zastąpiona nazwą: </w:t>
      </w:r>
      <w:r w:rsidRPr="00EC7D91">
        <w:rPr>
          <w:i/>
          <w:iCs/>
        </w:rPr>
        <w:t xml:space="preserve">Zwiększenie liczby zgłoszeń do konkursu Generalnego Konserwatora Zabytków nagradzającego gminy za modelowe wdrażanie programów opieki nad zabytkami, w stosunku do poprzednich edycji, wyrażony w procentach </w:t>
      </w:r>
      <w:r w:rsidRPr="00EC7D91">
        <w:t>– zmiana polega na doprecyzowaniu opisu wskaźnika, którego realizację można wyrazić liczbowo;</w:t>
      </w:r>
    </w:p>
    <w:p w:rsidR="00D82CF7" w:rsidRPr="00EC7D91" w:rsidRDefault="00D82CF7" w:rsidP="00EC7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76" w:lineRule="auto"/>
        <w:jc w:val="both"/>
      </w:pPr>
      <w:r w:rsidRPr="00EC7D91">
        <w:t xml:space="preserve">- wartość ww. wskaźnika </w:t>
      </w:r>
      <w:r w:rsidRPr="00EC7D91">
        <w:rPr>
          <w:rFonts w:eastAsiaTheme="minorEastAsia"/>
        </w:rPr>
        <w:t xml:space="preserve">zostanie zmniejszona - </w:t>
      </w:r>
      <w:r w:rsidRPr="00EC7D91">
        <w:t>w roku 2020 z 25 do 0, w roku 2021 z 50 do 15 i w roku 2022 z 75 do 30 – zmiana spowodowana jest nieprecyzyjnym opisem wskaźnika (</w:t>
      </w:r>
      <w:r w:rsidRPr="00EC7D91">
        <w:rPr>
          <w:i/>
          <w:iCs/>
        </w:rPr>
        <w:t>Stopień realizacji planu zwiększania…</w:t>
      </w:r>
      <w:r w:rsidRPr="00EC7D91">
        <w:t xml:space="preserve">), którego znaczenie można było wielorako interpretować. Przyjmując znaczenie polegające na corocznym procentowym wzroście liczby zgłoszeń do konkursu, realizacja wskaźnika w roku 2020 byłaby dyskusyjna, ponieważ był to rok, w którym odbyła się pierwsza edycja konkursu i każde wysłane zgłoszenie powodowałoby „wzrost jakości i ilości zgłoszeń” o 100%. Dopiero konkurs z 2020 stanowić będzie wartość bazową, od której możliwe będzie naliczanie procentowego wzrostu liczby zgłoszeń do konkursu. </w:t>
      </w:r>
    </w:p>
    <w:p w:rsidR="00D82CF7" w:rsidRPr="00EC7D91" w:rsidRDefault="00D82CF7" w:rsidP="00EC7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76" w:lineRule="auto"/>
        <w:jc w:val="both"/>
      </w:pPr>
      <w:r w:rsidRPr="00EC7D91">
        <w:t>Jednocześnie w</w:t>
      </w:r>
      <w:r w:rsidRPr="00EC7D91">
        <w:rPr>
          <w:rFonts w:eastAsiaTheme="minorHAnsi"/>
          <w:lang w:eastAsia="en-US"/>
        </w:rPr>
        <w:t xml:space="preserve">edług badań GUS, przeprowadzonych w 2019 r., tylko 33% samorządów lokalnych posiada aktualne gminne programy opieki nad zabytkami. Ponadto nie wszystkie gminy, które uchwaliły gminny program, wypełniają ustawowy obowiązek sporządzenia sprawozdania z realizacji programu. Dlatego też należy przypuszczać, że gminne programy opieki nad zabytkami w zdecydowanej większości gmin nie są postrzegane jako ważny, obligatoryjny, strategiczny dokument i </w:t>
      </w:r>
      <w:r w:rsidRPr="00EC7D91">
        <w:rPr>
          <w:rFonts w:eastAsiaTheme="minorHAnsi"/>
          <w:bCs/>
          <w:lang w:eastAsia="en-US"/>
        </w:rPr>
        <w:t>istnieje duże ryzyko</w:t>
      </w:r>
      <w:r w:rsidRPr="00EC7D91">
        <w:rPr>
          <w:rFonts w:eastAsiaTheme="minorHAnsi"/>
          <w:b/>
          <w:bCs/>
          <w:lang w:eastAsia="en-US"/>
        </w:rPr>
        <w:t xml:space="preserve"> </w:t>
      </w:r>
      <w:r w:rsidRPr="00EC7D91">
        <w:rPr>
          <w:rFonts w:eastAsiaTheme="minorHAnsi"/>
          <w:lang w:eastAsia="en-US"/>
        </w:rPr>
        <w:t>niewielkiego zainteresowania konkursem. Dodatkowo p</w:t>
      </w:r>
      <w:r w:rsidRPr="00EC7D91">
        <w:t xml:space="preserve">rzeprowadzona przez NID analiza wykazała, że jedynie 26% gmin w Polsce posiada zakończony gminny program ochrony zabytków w terminie kwalifikującym je do wzięcia udziału w konkursie i zaledwie 8% z nich posiada dowody na jego realizację w postaci dwóch sprawozdań przyjętych, zgodnie z ustawą, przez radę gminy, co stanowiło ok 2% gmin w całej Polsce kwalifikujących się do wzięcia udziału w konkursie.  </w:t>
      </w:r>
    </w:p>
    <w:p w:rsidR="00D82CF7" w:rsidRPr="00EC7D91" w:rsidRDefault="00D82CF7" w:rsidP="00EC7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40" w:after="240" w:line="276" w:lineRule="auto"/>
        <w:jc w:val="both"/>
      </w:pPr>
      <w:r w:rsidRPr="00EC7D91">
        <w:t xml:space="preserve">Środki finansowe na realizację zadania 1.1.4. nie zostały zmniejszone, z uwagi na konieczność prowadzenia intensywnych działań promocyjnych i edukacyjnych dot. nie tylko konkursu ale też samego gminnego programu opieki nad zabytkami, aby wartością dodaną zadania mógł być wzrost liczby </w:t>
      </w:r>
      <w:r w:rsidRPr="00EC7D91">
        <w:rPr>
          <w:rFonts w:eastAsiaTheme="minorHAnsi"/>
          <w:lang w:eastAsia="en-US"/>
        </w:rPr>
        <w:t>samorządów lokalnych posiadających aktualne gminne programy opieki nad zabytkami.</w:t>
      </w:r>
    </w:p>
    <w:p w:rsidR="00D82CF7" w:rsidRPr="00EC7D91" w:rsidRDefault="00D82CF7" w:rsidP="00EC7D91">
      <w:pPr>
        <w:spacing w:line="276" w:lineRule="auto"/>
        <w:jc w:val="both"/>
      </w:pPr>
      <w:r w:rsidRPr="00EC7D91">
        <w:t>5) w zadaniu 1.2.1.: Wspieranie rozwijania kompetencji zawodowych przez pracowników służb konserwatorskich:</w:t>
      </w:r>
    </w:p>
    <w:p w:rsidR="00D82CF7" w:rsidRPr="00EC7D91" w:rsidRDefault="00D82CF7" w:rsidP="00EC7D91">
      <w:pPr>
        <w:spacing w:line="276" w:lineRule="auto"/>
        <w:jc w:val="both"/>
      </w:pPr>
      <w:r w:rsidRPr="00EC7D91">
        <w:t xml:space="preserve">- wartość wskaźnika </w:t>
      </w:r>
      <w:r w:rsidRPr="00EC7D91">
        <w:rPr>
          <w:i/>
        </w:rPr>
        <w:t xml:space="preserve">Liczba pracowników administracji konserwatorskiej, którzy wzięli udział w szkoleniach MKIDN mających na celu rozwijanie kompetencji zawodowych </w:t>
      </w:r>
      <w:r w:rsidRPr="00EC7D91">
        <w:t xml:space="preserve">zostanie zmniejszona w roku 2020 z 60 do 50 natomiast w roku 2021 zostanie zwiększona z 120 do 150 i w roku 2022 z 180 do 250. Zaproponowana zmiana wynika ze zmiany sposobu realizacji szkoleń w związku z wystąpieniem w Polsce epidemii COVID-19 z trybu tradycyjnego na tryb zdalny w 2020 r. a następnie na tryb hybrydowy łączący szkolenia stacjonarne i szkolenia </w:t>
      </w:r>
      <w:r w:rsidRPr="00EC7D91">
        <w:lastRenderedPageBreak/>
        <w:t>zdalne w latach 2021 -2022. Zmiana trybu umożliwi przeszkolenie większej o 70 osób, liczby pracowników administracji konserwatorskiej w ramach Krajowego programu.</w:t>
      </w:r>
    </w:p>
    <w:p w:rsidR="00D82CF7" w:rsidRPr="00EC7D91" w:rsidRDefault="00D82CF7" w:rsidP="00EC7D91">
      <w:pPr>
        <w:spacing w:line="276" w:lineRule="auto"/>
        <w:jc w:val="both"/>
        <w:rPr>
          <w:rFonts w:eastAsia="Calibri"/>
          <w:iCs/>
        </w:rPr>
      </w:pPr>
      <w:r w:rsidRPr="00EC7D91">
        <w:t xml:space="preserve">6) w zadaniu 1.2.2. </w:t>
      </w:r>
      <w:r w:rsidRPr="00EC7D91">
        <w:rPr>
          <w:rFonts w:eastAsia="Calibri"/>
          <w:iCs/>
        </w:rPr>
        <w:t>Ewaluacja stosowanych standardów i metod konserwatorskich</w:t>
      </w:r>
    </w:p>
    <w:p w:rsidR="00D82CF7" w:rsidRPr="00EC7D91" w:rsidRDefault="00D82CF7" w:rsidP="00EC7D91">
      <w:pPr>
        <w:spacing w:line="276" w:lineRule="auto"/>
        <w:jc w:val="both"/>
      </w:pPr>
      <w:r w:rsidRPr="00EC7D91">
        <w:rPr>
          <w:rFonts w:eastAsia="Calibri"/>
          <w:iCs/>
        </w:rPr>
        <w:t xml:space="preserve">- wartość wskaźnika </w:t>
      </w:r>
      <w:r w:rsidRPr="00EC7D91">
        <w:rPr>
          <w:rFonts w:eastAsia="Calibri"/>
          <w:i/>
          <w:iCs/>
        </w:rPr>
        <w:t>Liczba opracowanych i przekazanych przez Generalnego Konserwatora Zabytków do wojewódzkich konserwatorów zabytków standardów i metod konserwatorskich</w:t>
      </w:r>
      <w:r w:rsidRPr="00EC7D91">
        <w:rPr>
          <w:rFonts w:eastAsia="Calibri"/>
          <w:iCs/>
        </w:rPr>
        <w:t xml:space="preserve"> zostanie zmniejszona z 5 do 3 w 2021 r. -</w:t>
      </w:r>
      <w:r w:rsidRPr="00EC7D91">
        <w:t xml:space="preserve"> finalna wartość wskaźnika (5) nie uległa zmianie. Zmiana spowodowana jest utrudnieniami wynikającymi ze stanu epidemiologicznego</w:t>
      </w:r>
      <w:r w:rsidR="00553069" w:rsidRPr="00EC7D91">
        <w:t>.</w:t>
      </w:r>
    </w:p>
    <w:p w:rsidR="00D82CF7" w:rsidRPr="00EC7D91" w:rsidRDefault="00D82CF7" w:rsidP="00EC7D91">
      <w:pPr>
        <w:spacing w:line="276" w:lineRule="auto"/>
        <w:jc w:val="both"/>
      </w:pPr>
      <w:r w:rsidRPr="00EC7D91">
        <w:t>7) w zadaniu 1.2.3. Wsparcie działań dokumentacyjnych zasobu zabytkowego:</w:t>
      </w:r>
    </w:p>
    <w:p w:rsidR="00D82CF7" w:rsidRPr="00EC7D91" w:rsidRDefault="00D82CF7" w:rsidP="00EC7D91">
      <w:pPr>
        <w:autoSpaceDE w:val="0"/>
        <w:autoSpaceDN w:val="0"/>
        <w:adjustRightInd w:val="0"/>
        <w:spacing w:line="276" w:lineRule="auto"/>
        <w:rPr>
          <w:rFonts w:eastAsiaTheme="minorHAnsi"/>
          <w:lang w:eastAsia="en-US"/>
        </w:rPr>
      </w:pPr>
      <w:r w:rsidRPr="00EC7D91">
        <w:t>- nazwa wskaźnika</w:t>
      </w:r>
      <w:r w:rsidRPr="00EC7D91">
        <w:rPr>
          <w:i/>
          <w:iCs/>
        </w:rPr>
        <w:t xml:space="preserve">: </w:t>
      </w:r>
      <w:r w:rsidRPr="00EC7D91">
        <w:rPr>
          <w:rFonts w:eastAsiaTheme="minorHAnsi"/>
          <w:i/>
          <w:iCs/>
          <w:lang w:eastAsia="en-US"/>
        </w:rPr>
        <w:t>Opracowanie modelu uwzględnienia wartości zabytkowych w ochronie obiektów wpisanych do rejestru, obejmujący: wzór załącznika do decyzji o wpisie do rejestru, zawierającego informację odnośnie do wartości zabytkowych i ich materialnych atrybutów; listę obiektów wpisanych do rejestru wybranych do pilotażowej oceny wartości zabytkowych; zalecenia i wytyczne do przeprowadzenia oceny wartości oraz wzór załącznika do decyzji o wpisie do rejestru</w:t>
      </w:r>
      <w:r w:rsidRPr="00EC7D91">
        <w:t xml:space="preserve"> zostanie zastąpiona nazwą: </w:t>
      </w:r>
      <w:r w:rsidRPr="00EC7D91">
        <w:rPr>
          <w:rFonts w:eastAsiaTheme="minorHAnsi"/>
          <w:i/>
          <w:iCs/>
          <w:lang w:eastAsia="en-US"/>
        </w:rPr>
        <w:t xml:space="preserve">Opracowanie modelu uwzględnienia wartości zabytkowych w ochronie obiektów wpisanych do rejestru, obejmujący: wzór karty wartości zabytku, zawierającej informacje odnośnie do wartości zabytkowych i ich materialnych atrybutów; listę obiektów wpisanych do rejestru wybranych do pilotażowej oceny wartości zabytkowych; zalecenia i wytyczne do przeprowadzenia oceny wartości </w:t>
      </w:r>
      <w:r w:rsidRPr="00EC7D91">
        <w:rPr>
          <w:rFonts w:eastAsiaTheme="minorHAnsi"/>
          <w:lang w:eastAsia="en-US"/>
        </w:rPr>
        <w:t>– zmiana polega na ujednoliceniu nazwy wskaźnika z opisem zadania w treści Programu;</w:t>
      </w:r>
    </w:p>
    <w:p w:rsidR="00D82CF7" w:rsidRPr="00EC7D91" w:rsidRDefault="00D82CF7" w:rsidP="00EC7D91">
      <w:pPr>
        <w:spacing w:line="276" w:lineRule="auto"/>
        <w:jc w:val="both"/>
        <w:rPr>
          <w:rFonts w:eastAsiaTheme="minorEastAsia"/>
        </w:rPr>
      </w:pPr>
      <w:r w:rsidRPr="00EC7D91">
        <w:t xml:space="preserve">- wartość wskaźnika </w:t>
      </w:r>
      <w:r w:rsidRPr="00EC7D91">
        <w:rPr>
          <w:i/>
          <w:iCs/>
        </w:rPr>
        <w:t>Stosunek liczby obiektów, dla których przeprowadzono ocenę wartości zabytkowych w latach 2019-2021, do liczby obiektów na liście obiektów wpisanych do rejestru wybranych do pilotażowej oceny wartości zabytkowych w ramach opracowanego modelu, wyrażony w procentach</w:t>
      </w:r>
      <w:r w:rsidRPr="00EC7D91">
        <w:t xml:space="preserve"> </w:t>
      </w:r>
      <w:r w:rsidRPr="00EC7D91">
        <w:rPr>
          <w:rFonts w:eastAsiaTheme="minorEastAsia"/>
        </w:rPr>
        <w:t xml:space="preserve">zostanie zmniejszona - w roku 2020 z 37,5 do 20 - </w:t>
      </w:r>
      <w:r w:rsidRPr="00EC7D91">
        <w:t>finalna wartość wskaźnika (75) nie uległa zmianie. Zaproponowana zmiana spowodowana była przewidywanymi problemami w realizacji badań terenowych w roku 2020, w związku z epidemią COVID-19</w:t>
      </w:r>
      <w:r w:rsidRPr="00EC7D91">
        <w:rPr>
          <w:rFonts w:eastAsiaTheme="minorEastAsia"/>
        </w:rPr>
        <w:t xml:space="preserve">. Ostatecznie realizacja wskaźnika w roku 2020 wyniosła 2% </w:t>
      </w:r>
      <w:r w:rsidRPr="00EC7D91">
        <w:t xml:space="preserve">z powodu utrudnień w realizacji prac terenowych wynikających z wprowadzonych obostrzeń, ograniczeń w przemieszczaniu się oraz zagrożenia zachorowaniem i wyłączeniem z pracy pracowników NID i zaangażowanych podmiotów zewnętrznych spowodowanych epidemią COVID-19. </w:t>
      </w:r>
    </w:p>
    <w:p w:rsidR="00D82CF7" w:rsidRPr="00EC7D91" w:rsidRDefault="00D82CF7" w:rsidP="00EC7D91">
      <w:pPr>
        <w:spacing w:line="276" w:lineRule="auto"/>
        <w:jc w:val="both"/>
      </w:pPr>
    </w:p>
    <w:p w:rsidR="00D82CF7" w:rsidRPr="00EC7D91" w:rsidRDefault="00D82CF7" w:rsidP="00EC7D91">
      <w:pPr>
        <w:spacing w:line="276" w:lineRule="auto"/>
        <w:jc w:val="both"/>
      </w:pPr>
      <w:r w:rsidRPr="00EC7D91">
        <w:t xml:space="preserve">Pierwszy aspekt w ramach realizacji zadania: </w:t>
      </w:r>
      <w:r w:rsidRPr="00EC7D91">
        <w:rPr>
          <w:rFonts w:eastAsiaTheme="minorHAnsi"/>
          <w:lang w:eastAsia="en-US"/>
        </w:rPr>
        <w:t>Wsparcie działań dokumentacyjnych zespołu zabytkowego</w:t>
      </w:r>
      <w:r w:rsidRPr="00EC7D91">
        <w:t xml:space="preserve"> zawarty w pkt 1.2.3. otrzyma treść:</w:t>
      </w:r>
    </w:p>
    <w:p w:rsidR="00D82CF7" w:rsidRPr="00EC7D91" w:rsidRDefault="00D82CF7" w:rsidP="00EC7D91">
      <w:pPr>
        <w:autoSpaceDE w:val="0"/>
        <w:autoSpaceDN w:val="0"/>
        <w:adjustRightInd w:val="0"/>
        <w:spacing w:line="276" w:lineRule="auto"/>
        <w:jc w:val="both"/>
        <w:rPr>
          <w:rFonts w:eastAsiaTheme="minorHAnsi"/>
          <w:lang w:eastAsia="en-US"/>
        </w:rPr>
      </w:pPr>
      <w:r w:rsidRPr="00EC7D91">
        <w:rPr>
          <w:rFonts w:eastAsiaTheme="minorHAnsi"/>
          <w:lang w:eastAsia="en-US"/>
        </w:rPr>
        <w:t>„</w:t>
      </w:r>
      <w:r w:rsidRPr="00EC7D91">
        <w:rPr>
          <w:rFonts w:eastAsiaTheme="minorHAnsi"/>
          <w:u w:val="single"/>
          <w:lang w:eastAsia="en-US"/>
        </w:rPr>
        <w:t xml:space="preserve">Pierwszym </w:t>
      </w:r>
      <w:r w:rsidRPr="00EC7D91">
        <w:rPr>
          <w:rFonts w:eastAsiaTheme="minorHAnsi"/>
          <w:lang w:eastAsia="en-US"/>
        </w:rPr>
        <w:t xml:space="preserve">jest wypracowanie zaleceń dotyczących waloryzacji zabytków </w:t>
      </w:r>
      <w:r w:rsidRPr="00EC7D91">
        <w:rPr>
          <w:rFonts w:eastAsiaTheme="minorHAnsi"/>
          <w:lang w:eastAsia="en-US"/>
        </w:rPr>
        <w:br/>
        <w:t>i dokumentacji wartości zabytków wpisanych do rejestru zabytków oraz włączenie do zbioru kart ewidencyjnych informacji o wartościach i ich materialnych nośnikach dla wybranych zabytków.”,</w:t>
      </w:r>
    </w:p>
    <w:p w:rsidR="00D82CF7" w:rsidRPr="00EC7D91" w:rsidRDefault="00D82CF7" w:rsidP="00EC7D91">
      <w:pPr>
        <w:autoSpaceDE w:val="0"/>
        <w:autoSpaceDN w:val="0"/>
        <w:adjustRightInd w:val="0"/>
        <w:spacing w:line="276" w:lineRule="auto"/>
        <w:jc w:val="both"/>
        <w:rPr>
          <w:rFonts w:eastAsiaTheme="minorHAnsi"/>
          <w:lang w:eastAsia="en-US"/>
        </w:rPr>
      </w:pPr>
      <w:r w:rsidRPr="00EC7D91">
        <w:rPr>
          <w:rFonts w:eastAsiaTheme="minorHAnsi"/>
          <w:lang w:eastAsia="en-US"/>
        </w:rPr>
        <w:t xml:space="preserve">Zadanie polegać będzie na opracowaniu uniwersalnej </w:t>
      </w:r>
      <w:r w:rsidRPr="00EC7D91">
        <w:rPr>
          <w:rFonts w:eastAsiaTheme="minorHAnsi"/>
          <w:i/>
          <w:iCs/>
          <w:lang w:eastAsia="en-US"/>
        </w:rPr>
        <w:t>karty wartości zabytku</w:t>
      </w:r>
      <w:r w:rsidRPr="00EC7D91">
        <w:rPr>
          <w:rFonts w:eastAsiaTheme="minorHAnsi"/>
          <w:lang w:eastAsia="en-US"/>
        </w:rPr>
        <w:t>, która będzie miała zastosowanie zarówno do zabytków techniki jak też pozostałych kategorii zabytków nieruchomych. W związku z powyższym lista obiektów, na których przeprowadzona zostanie pilotażowa ocena wartości zabytkowych, musi być reprezentatywna dla całego rejestru zabytków.</w:t>
      </w:r>
    </w:p>
    <w:p w:rsidR="00D82CF7" w:rsidRPr="00EC7D91" w:rsidRDefault="00D82CF7" w:rsidP="00EC7D91">
      <w:pPr>
        <w:autoSpaceDE w:val="0"/>
        <w:autoSpaceDN w:val="0"/>
        <w:adjustRightInd w:val="0"/>
        <w:spacing w:line="276" w:lineRule="auto"/>
        <w:jc w:val="both"/>
        <w:rPr>
          <w:rFonts w:eastAsiaTheme="minorHAnsi"/>
          <w:lang w:eastAsia="en-US"/>
        </w:rPr>
      </w:pPr>
    </w:p>
    <w:p w:rsidR="00D82CF7" w:rsidRPr="00EC7D91" w:rsidRDefault="00D82CF7" w:rsidP="00EC7D91">
      <w:pPr>
        <w:spacing w:line="276" w:lineRule="auto"/>
        <w:jc w:val="both"/>
        <w:rPr>
          <w:rFonts w:eastAsiaTheme="minorEastAsia"/>
        </w:rPr>
      </w:pPr>
      <w:r w:rsidRPr="00EC7D91">
        <w:rPr>
          <w:rFonts w:eastAsiaTheme="minorEastAsia"/>
        </w:rPr>
        <w:t xml:space="preserve">- w nazwie wskaźnika </w:t>
      </w:r>
      <w:r w:rsidRPr="00EC7D91">
        <w:rPr>
          <w:rFonts w:eastAsiaTheme="minorEastAsia"/>
          <w:i/>
          <w:iCs/>
        </w:rPr>
        <w:t xml:space="preserve">Stosunek liczby obszarów przebadanych w ramach badań „Archeologicznego Zdjęcia Polski +” w stosunku do liczby obszarów na liście obszarów </w:t>
      </w:r>
      <w:r w:rsidRPr="00EC7D91">
        <w:rPr>
          <w:rFonts w:eastAsiaTheme="minorEastAsia"/>
          <w:i/>
          <w:iCs/>
        </w:rPr>
        <w:lastRenderedPageBreak/>
        <w:t>wytypowanych do badań „Archeologicznego Zdjęcia Polski +” w ramach Programu 2019-2022, wyrażony w procentach</w:t>
      </w:r>
      <w:r w:rsidRPr="00EC7D91">
        <w:rPr>
          <w:rFonts w:eastAsiaTheme="minorEastAsia"/>
        </w:rPr>
        <w:t>, po wyrazach: „Archeologicznego Zdjęcia Polski” w dwóch miejscach skreślony zostanie znak „+” – zmiana polega na doprecyzowaniu nazwy programu;</w:t>
      </w:r>
    </w:p>
    <w:p w:rsidR="00D82CF7" w:rsidRPr="00EC7D91" w:rsidRDefault="00D82CF7" w:rsidP="00EC7D91">
      <w:pPr>
        <w:spacing w:line="276" w:lineRule="auto"/>
        <w:jc w:val="both"/>
        <w:rPr>
          <w:rFonts w:eastAsiaTheme="minorEastAsia"/>
        </w:rPr>
      </w:pPr>
      <w:r w:rsidRPr="00EC7D91">
        <w:rPr>
          <w:rFonts w:eastAsiaTheme="minorEastAsia"/>
        </w:rPr>
        <w:t>- skreślone zostaną wskaźniki:</w:t>
      </w:r>
    </w:p>
    <w:p w:rsidR="00D82CF7" w:rsidRPr="00EC7D91" w:rsidRDefault="00D82CF7" w:rsidP="00EC7D91">
      <w:pPr>
        <w:spacing w:line="276" w:lineRule="auto"/>
        <w:jc w:val="both"/>
        <w:rPr>
          <w:rFonts w:eastAsiaTheme="minorEastAsia"/>
        </w:rPr>
      </w:pPr>
      <w:r w:rsidRPr="00EC7D91">
        <w:rPr>
          <w:rFonts w:eastAsiaTheme="minorEastAsia"/>
        </w:rPr>
        <w:t xml:space="preserve">-- </w:t>
      </w:r>
      <w:r w:rsidRPr="00EC7D91">
        <w:rPr>
          <w:rFonts w:eastAsiaTheme="minorEastAsia"/>
          <w:i/>
          <w:iCs/>
        </w:rPr>
        <w:t>Opracowanie listy obszarów wytypowanych do pilotażowych badań „Archeologicznego Zdjęcia Polski +” w ramach Programu 2019-2022</w:t>
      </w:r>
      <w:r w:rsidRPr="00EC7D91">
        <w:rPr>
          <w:rFonts w:eastAsiaTheme="minorEastAsia"/>
        </w:rPr>
        <w:t>,</w:t>
      </w:r>
    </w:p>
    <w:p w:rsidR="00D82CF7" w:rsidRPr="00EC7D91" w:rsidRDefault="00D82CF7" w:rsidP="00EC7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line="276" w:lineRule="auto"/>
        <w:jc w:val="both"/>
        <w:rPr>
          <w:rFonts w:eastAsiaTheme="minorEastAsia"/>
          <w:i/>
          <w:iCs/>
        </w:rPr>
      </w:pPr>
      <w:r w:rsidRPr="00EC7D91">
        <w:rPr>
          <w:rFonts w:eastAsiaTheme="minorEastAsia"/>
        </w:rPr>
        <w:t xml:space="preserve">-- </w:t>
      </w:r>
      <w:r w:rsidRPr="00EC7D91">
        <w:rPr>
          <w:rFonts w:eastAsiaTheme="minorEastAsia"/>
          <w:i/>
          <w:iCs/>
        </w:rPr>
        <w:t xml:space="preserve">Stosunek liczby obszarów przebadanych w ramach pilotażowych badań „Archeologiczne Zdjęcie Polski +" w stosunku do liczby obszarów na liście obszarów wytypowanych do pilotażowych badań „Archeologicznego Zdjęcia Polski +” w ramach Programu 2019-2022, wyrażony w procentach. </w:t>
      </w:r>
    </w:p>
    <w:p w:rsidR="00D82CF7" w:rsidRPr="00EC7D91" w:rsidRDefault="00D82CF7" w:rsidP="00EC7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line="276" w:lineRule="auto"/>
        <w:jc w:val="both"/>
        <w:rPr>
          <w:rFonts w:eastAsiaTheme="minorEastAsia"/>
        </w:rPr>
      </w:pPr>
      <w:bookmarkStart w:id="1" w:name="_Hlk63111560"/>
      <w:r w:rsidRPr="00EC7D91">
        <w:rPr>
          <w:rFonts w:eastAsiaTheme="minorEastAsia"/>
        </w:rPr>
        <w:t xml:space="preserve">Zmiana polegająca na wykreśleniu powyższych wskaźników spowodowana jest </w:t>
      </w:r>
      <w:bookmarkEnd w:id="1"/>
      <w:r w:rsidRPr="00EC7D91">
        <w:rPr>
          <w:rFonts w:eastAsiaTheme="minorEastAsia"/>
        </w:rPr>
        <w:t>doprecyzowaniem formuły realizacji zadania. P</w:t>
      </w:r>
      <w:r w:rsidRPr="00EC7D91">
        <w:t xml:space="preserve">odczas realizacji programu AZP+ planuje się odejście od podziału Polski na jednolite pod względem wielkości obszary AZP. Obszary wytypowane do badań AZP+ będą różnej wielkości, w zależności od przyjętej metody badawczej. Analizy danych ALS oraz zobrazowań satelitarnych będą wykonywane dla bardzo dużych obszarów; analiza zdjęć lotniczych będzie dotyczyła bardziej ograniczonej przestrzeni (zwłaszcza zdjęć z </w:t>
      </w:r>
      <w:proofErr w:type="spellStart"/>
      <w:r w:rsidRPr="00EC7D91">
        <w:t>drona</w:t>
      </w:r>
      <w:proofErr w:type="spellEnd"/>
      <w:r w:rsidRPr="00EC7D91">
        <w:t>); jeszcze inne pod względem wielkości obszary poddawane będą badaniom geofizycznym czy przetworzeniom fotogrametrycznym. Dodatkowo, niektóre z nich będą badane zarówno w 2020, jak i 2021 r., tylko innymi metodami gdyż np. wskazanie obszarów do badań geofizycznych jest możliwe dopiero po przeprowadzeniu badań teledetekcyjnych;</w:t>
      </w:r>
    </w:p>
    <w:p w:rsidR="00D82CF7" w:rsidRPr="00EC7D91" w:rsidRDefault="00D82CF7" w:rsidP="00EC7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line="276" w:lineRule="auto"/>
        <w:jc w:val="both"/>
        <w:rPr>
          <w:rFonts w:eastAsiaTheme="minorEastAsia"/>
          <w:i/>
          <w:iCs/>
        </w:rPr>
      </w:pPr>
      <w:r w:rsidRPr="00EC7D91">
        <w:rPr>
          <w:rFonts w:eastAsiaTheme="minorEastAsia"/>
        </w:rPr>
        <w:t xml:space="preserve">- </w:t>
      </w:r>
      <w:r w:rsidRPr="00EC7D91">
        <w:rPr>
          <w:rFonts w:eastAsiaTheme="minorEastAsia"/>
          <w:i/>
          <w:iCs/>
        </w:rPr>
        <w:t xml:space="preserve">Utworzenie w strukturze Narodowego Instytutu Dziedzictwa zespołu do celów koordynacji i zarządzania współpracą z wojewódzkimi urzędami ochrony zabytków oraz innymi organami i służbami w zakresie </w:t>
      </w:r>
      <w:proofErr w:type="spellStart"/>
      <w:r w:rsidRPr="00EC7D91">
        <w:rPr>
          <w:rFonts w:eastAsiaTheme="minorEastAsia"/>
          <w:i/>
          <w:iCs/>
        </w:rPr>
        <w:t>ScanManagera</w:t>
      </w:r>
      <w:proofErr w:type="spellEnd"/>
      <w:r w:rsidRPr="00EC7D91">
        <w:rPr>
          <w:rFonts w:eastAsiaTheme="minorEastAsia"/>
          <w:i/>
          <w:iCs/>
        </w:rPr>
        <w:t xml:space="preserve">, </w:t>
      </w:r>
      <w:proofErr w:type="spellStart"/>
      <w:r w:rsidRPr="00EC7D91">
        <w:rPr>
          <w:rFonts w:eastAsiaTheme="minorEastAsia"/>
          <w:i/>
          <w:iCs/>
        </w:rPr>
        <w:t>Geoportalu</w:t>
      </w:r>
      <w:proofErr w:type="spellEnd"/>
      <w:r w:rsidRPr="00EC7D91">
        <w:rPr>
          <w:rFonts w:eastAsiaTheme="minorEastAsia"/>
          <w:i/>
          <w:iCs/>
        </w:rPr>
        <w:t xml:space="preserve"> i towarzyszącej mu bazy danych.</w:t>
      </w:r>
    </w:p>
    <w:p w:rsidR="00D82CF7" w:rsidRPr="00EC7D91" w:rsidRDefault="00D82CF7" w:rsidP="00EC7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40" w:line="276" w:lineRule="auto"/>
        <w:jc w:val="both"/>
      </w:pPr>
      <w:r w:rsidRPr="00EC7D91">
        <w:rPr>
          <w:rFonts w:eastAsiaTheme="minorEastAsia"/>
        </w:rPr>
        <w:t>Zmiana polegająca na wykreśleniu powyższego wskaźnika spowodowana jest</w:t>
      </w:r>
      <w:r w:rsidRPr="00EC7D91">
        <w:rPr>
          <w:rFonts w:eastAsiaTheme="minorEastAsia"/>
          <w:i/>
          <w:iCs/>
        </w:rPr>
        <w:t xml:space="preserve"> </w:t>
      </w:r>
      <w:r w:rsidRPr="00EC7D91">
        <w:rPr>
          <w:rFonts w:eastAsiaTheme="minorEastAsia"/>
        </w:rPr>
        <w:t xml:space="preserve">przekonaniem, że </w:t>
      </w:r>
      <w:r w:rsidRPr="00EC7D91">
        <w:t xml:space="preserve">utworzenie w strukturze NID odrębnego zespołu do celów koordynacji i zarządzania współpracą z wojewódzkimi urzędami ochrony zabytków oraz innymi organami i służbami w zakresie Scan Managera, </w:t>
      </w:r>
      <w:proofErr w:type="spellStart"/>
      <w:r w:rsidRPr="00EC7D91">
        <w:t>Geoportalu</w:t>
      </w:r>
      <w:proofErr w:type="spellEnd"/>
      <w:r w:rsidRPr="00EC7D91">
        <w:t xml:space="preserve"> i towarzyszącej mu bazy danych jest zbędne. Za zadanie to jest odpowiedzialny obecnie istniejący od dawna w NID zespół powołany do realizacji zadań związanych z digitalizacją zabytków i prowadzenia </w:t>
      </w:r>
      <w:proofErr w:type="spellStart"/>
      <w:r w:rsidRPr="00EC7D91">
        <w:t>geoprzestrzennej</w:t>
      </w:r>
      <w:proofErr w:type="spellEnd"/>
      <w:r w:rsidRPr="00EC7D91">
        <w:t xml:space="preserve"> bazy danych.</w:t>
      </w:r>
    </w:p>
    <w:p w:rsidR="00D82CF7" w:rsidRPr="00EC7D91" w:rsidRDefault="00D82CF7" w:rsidP="00EC7D91">
      <w:pPr>
        <w:spacing w:line="276" w:lineRule="auto"/>
        <w:jc w:val="both"/>
        <w:rPr>
          <w:rFonts w:eastAsiaTheme="minorEastAsia"/>
        </w:rPr>
      </w:pPr>
      <w:r w:rsidRPr="00EC7D91">
        <w:rPr>
          <w:rFonts w:eastAsiaTheme="minorEastAsia"/>
        </w:rPr>
        <w:t>Usunięcie ww. wskaźników nie ma wpływu na budżet zadań, ponieważ ich realizacja mierzona jest pozostałymi wskaźnikami.</w:t>
      </w:r>
    </w:p>
    <w:p w:rsidR="00D82CF7" w:rsidRPr="00EC7D91" w:rsidRDefault="00D82CF7" w:rsidP="00EC7D91">
      <w:pPr>
        <w:spacing w:line="276" w:lineRule="auto"/>
        <w:jc w:val="both"/>
        <w:rPr>
          <w:rFonts w:eastAsiaTheme="minorEastAsia"/>
        </w:rPr>
      </w:pPr>
    </w:p>
    <w:p w:rsidR="00D82CF7" w:rsidRPr="00EC7D91" w:rsidRDefault="00D82CF7" w:rsidP="00EC7D91">
      <w:pPr>
        <w:spacing w:line="276" w:lineRule="auto"/>
        <w:jc w:val="both"/>
        <w:rPr>
          <w:rFonts w:eastAsiaTheme="minorEastAsia"/>
        </w:rPr>
      </w:pPr>
      <w:r w:rsidRPr="00EC7D91">
        <w:rPr>
          <w:rFonts w:eastAsiaTheme="minorEastAsia"/>
        </w:rPr>
        <w:t xml:space="preserve">- wartość wskaźnika: </w:t>
      </w:r>
      <w:r w:rsidRPr="00EC7D91">
        <w:rPr>
          <w:rFonts w:eastAsiaTheme="minorEastAsia"/>
          <w:i/>
          <w:iCs/>
        </w:rPr>
        <w:t xml:space="preserve">Opracowanie projektu struktury bazy danych połączonej z </w:t>
      </w:r>
      <w:proofErr w:type="spellStart"/>
      <w:r w:rsidRPr="00EC7D91">
        <w:rPr>
          <w:rFonts w:eastAsiaTheme="minorEastAsia"/>
          <w:i/>
          <w:iCs/>
        </w:rPr>
        <w:t>geoportalem</w:t>
      </w:r>
      <w:proofErr w:type="spellEnd"/>
      <w:r w:rsidRPr="00EC7D91">
        <w:rPr>
          <w:rFonts w:eastAsiaTheme="minorEastAsia"/>
          <w:i/>
          <w:iCs/>
        </w:rPr>
        <w:t>, gromadzącej różnorodne typy informacji o obiektach zabytkowych, w tym wyniki badań naukowych</w:t>
      </w:r>
      <w:r w:rsidRPr="00EC7D91">
        <w:rPr>
          <w:rFonts w:eastAsiaTheme="minorEastAsia"/>
        </w:rPr>
        <w:t xml:space="preserve"> zostanie zmniejszona w roku 2020 i 2021 z 1 do 0 – finalna wartość wskaźnika (1)</w:t>
      </w:r>
      <w:r w:rsidRPr="00EC7D91">
        <w:t xml:space="preserve"> nie uległa zmianie</w:t>
      </w:r>
      <w:r w:rsidRPr="00EC7D91">
        <w:rPr>
          <w:rFonts w:eastAsiaTheme="minorEastAsia"/>
        </w:rPr>
        <w:t xml:space="preserve">. </w:t>
      </w:r>
      <w:r w:rsidRPr="00EC7D91">
        <w:t>Jest to zadanie, które na etapie tworzenia załącznika do OSR nie było uwzględnione w budżecie Programu. Ze względu na koszty takiego przedsięwzięcia zaistniała konieczność rozłożenia prac a tym samym budżetu na trzy lata, co skutkuje realizacją wskaźnika dopiero w roku 2022;</w:t>
      </w:r>
    </w:p>
    <w:p w:rsidR="00D82CF7" w:rsidRPr="00EC7D91" w:rsidRDefault="00D82CF7" w:rsidP="00EC7D91">
      <w:pPr>
        <w:spacing w:line="276" w:lineRule="auto"/>
        <w:jc w:val="both"/>
        <w:rPr>
          <w:rFonts w:eastAsiaTheme="minorEastAsia"/>
        </w:rPr>
      </w:pPr>
      <w:r w:rsidRPr="00EC7D91">
        <w:rPr>
          <w:rFonts w:eastAsiaTheme="minorEastAsia"/>
        </w:rPr>
        <w:t>8) w zadaniu 1.2.4.: Powołanie Centrum Architektury Drewnianej:</w:t>
      </w:r>
    </w:p>
    <w:p w:rsidR="00D82CF7" w:rsidRPr="00EC7D91" w:rsidRDefault="00D82CF7" w:rsidP="00EC7D91">
      <w:pPr>
        <w:spacing w:line="276" w:lineRule="auto"/>
        <w:jc w:val="both"/>
        <w:rPr>
          <w:rFonts w:eastAsiaTheme="minorEastAsia"/>
        </w:rPr>
      </w:pPr>
      <w:r w:rsidRPr="00EC7D91">
        <w:rPr>
          <w:rFonts w:eastAsiaTheme="minorEastAsia"/>
        </w:rPr>
        <w:lastRenderedPageBreak/>
        <w:t xml:space="preserve">- wartość wskaźnika: </w:t>
      </w:r>
      <w:r w:rsidRPr="00EC7D91">
        <w:rPr>
          <w:rFonts w:eastAsiaTheme="minorEastAsia"/>
          <w:i/>
        </w:rPr>
        <w:t xml:space="preserve">Oddanie do użytku nieruchomość na potrzeby Centrum Architektury Drewnianej </w:t>
      </w:r>
      <w:r w:rsidRPr="00EC7D91">
        <w:rPr>
          <w:rFonts w:eastAsiaTheme="minorEastAsia"/>
        </w:rPr>
        <w:t>zostanie zmniejszona w roku 2021 z 1 do 0 - finalna wartość wskaźnika (1)</w:t>
      </w:r>
      <w:r w:rsidRPr="00EC7D91">
        <w:t xml:space="preserve"> nie uległa zmianie</w:t>
      </w:r>
      <w:r w:rsidRPr="00EC7D91">
        <w:rPr>
          <w:rFonts w:eastAsiaTheme="minorEastAsia"/>
        </w:rPr>
        <w:t>.</w:t>
      </w:r>
      <w:r w:rsidRPr="00EC7D91">
        <w:t xml:space="preserve"> Zmiana spowodowana jest opóźnieniami w finansowaniu Programu 2019-2022. Realizacja zadania wymaga wyłonienia wykonawców zewnętrznych w trybie przetargowym.</w:t>
      </w:r>
    </w:p>
    <w:p w:rsidR="00D82CF7" w:rsidRPr="00EC7D91" w:rsidRDefault="00D82CF7" w:rsidP="00EC7D91">
      <w:pPr>
        <w:spacing w:line="276" w:lineRule="auto"/>
        <w:jc w:val="both"/>
        <w:rPr>
          <w:rFonts w:eastAsiaTheme="minorEastAsia"/>
        </w:rPr>
      </w:pPr>
      <w:r w:rsidRPr="00EC7D91">
        <w:rPr>
          <w:rFonts w:eastAsiaTheme="minorEastAsia"/>
        </w:rPr>
        <w:t>9) w zadaniu: 2.2.1. Podniesienie bezpieczeństwa zabytków ruchomych poprzez sprzyjanie intensyfikacji współpracy z opiekunami zabytków przez właściwe służby i instytucje:</w:t>
      </w:r>
    </w:p>
    <w:p w:rsidR="00D82CF7" w:rsidRPr="00EC7D91" w:rsidRDefault="00D82CF7" w:rsidP="00EC7D91">
      <w:pPr>
        <w:spacing w:line="276" w:lineRule="auto"/>
        <w:jc w:val="both"/>
      </w:pPr>
      <w:r w:rsidRPr="00EC7D91">
        <w:rPr>
          <w:rFonts w:eastAsiaTheme="minorEastAsia"/>
        </w:rPr>
        <w:t xml:space="preserve">- nazwa wskaźnika: </w:t>
      </w:r>
      <w:r w:rsidRPr="00EC7D91">
        <w:rPr>
          <w:rFonts w:eastAsiaTheme="minorEastAsia"/>
          <w:i/>
          <w:iCs/>
        </w:rPr>
        <w:t>Liczba szkoleń zorganizowanych w ramach Programu 2019-2022 przez wyspecjalizowane w zakresie ochrony zabytków i opieki nad zabytkami państwowe instytucje kultury, w których wzięli udział koordynatorzy z co najmniej 12 województw z wojewódzkich komend policji</w:t>
      </w:r>
      <w:r w:rsidRPr="00EC7D91">
        <w:t xml:space="preserve"> zostanie zastąpiona nazwą</w:t>
      </w:r>
      <w:r w:rsidRPr="00EC7D91">
        <w:rPr>
          <w:rFonts w:eastAsiaTheme="minorEastAsia"/>
        </w:rPr>
        <w:t xml:space="preserve">: </w:t>
      </w:r>
      <w:r w:rsidRPr="00EC7D91">
        <w:rPr>
          <w:i/>
          <w:iCs/>
        </w:rPr>
        <w:t>Liczba szkoleń zorganizowanych w ramach Programu 2019-2022, w których wzięli udział przedstawiciele służb mundurowych</w:t>
      </w:r>
      <w:r w:rsidRPr="00EC7D91">
        <w:t>,</w:t>
      </w:r>
    </w:p>
    <w:p w:rsidR="00D82CF7" w:rsidRPr="00EC7D91" w:rsidRDefault="00D82CF7" w:rsidP="00EC7D91">
      <w:pPr>
        <w:spacing w:line="276" w:lineRule="auto"/>
        <w:jc w:val="both"/>
      </w:pPr>
      <w:r w:rsidRPr="00EC7D91">
        <w:t xml:space="preserve">- nazwa wskaźnika: </w:t>
      </w:r>
      <w:r w:rsidRPr="00EC7D91">
        <w:rPr>
          <w:i/>
          <w:iCs/>
        </w:rPr>
        <w:t xml:space="preserve">Liczba powiatów, w których wdrożono w ramach Programu 2019-2022 projekt rejestracji zabytków ruchomych na wypadek kradzieży </w:t>
      </w:r>
      <w:r w:rsidRPr="00EC7D91">
        <w:t xml:space="preserve">zostanie zastąpiona nazwą: </w:t>
      </w:r>
      <w:r w:rsidRPr="00EC7D91">
        <w:rPr>
          <w:i/>
          <w:iCs/>
        </w:rPr>
        <w:t>Liczba powiatów, w których wdrożono w ramach Programu 2019-2022 projekt weryfikacji stanu zabytków ruchomych wpisanych do rejestru</w:t>
      </w:r>
      <w:r w:rsidRPr="00EC7D91">
        <w:t>,</w:t>
      </w:r>
    </w:p>
    <w:p w:rsidR="00D82CF7" w:rsidRPr="00EC7D91" w:rsidRDefault="00D82CF7" w:rsidP="00EC7D91">
      <w:pPr>
        <w:spacing w:line="276" w:lineRule="auto"/>
        <w:jc w:val="both"/>
      </w:pPr>
      <w:r w:rsidRPr="00EC7D91">
        <w:t>- wartości ww. wskaźnika zostaną zmienione - w roku 2020 z 26 do 11, w roku 2021 z 58 do 27 i w roku 2022 z 90 do 70.</w:t>
      </w:r>
    </w:p>
    <w:p w:rsidR="00D82CF7" w:rsidRPr="00EC7D91" w:rsidRDefault="00D82CF7" w:rsidP="00EC7D91">
      <w:pPr>
        <w:spacing w:line="276" w:lineRule="auto"/>
        <w:jc w:val="both"/>
      </w:pPr>
      <w:r w:rsidRPr="00EC7D91">
        <w:tab/>
        <w:t>Działanie przewidziane w ramach realizacji zadania: Podniesienie bezpieczeństwa zabytków ruchomych poprzez sprzyjanie intensyfikacji współpracy z opiekunami zabytków przez właściwe służby i instytucje zawarte w pkt 2.2.1. lit. b otrzyma treść:</w:t>
      </w:r>
    </w:p>
    <w:p w:rsidR="00D82CF7" w:rsidRPr="00EC7D91" w:rsidRDefault="00D82CF7" w:rsidP="00EC7D91">
      <w:pPr>
        <w:spacing w:line="276" w:lineRule="auto"/>
        <w:jc w:val="both"/>
        <w:rPr>
          <w:rFonts w:eastAsia="Calibri,Bold"/>
          <w:color w:val="000000"/>
        </w:rPr>
      </w:pPr>
      <w:r w:rsidRPr="00EC7D91">
        <w:t>„</w:t>
      </w:r>
      <w:r w:rsidRPr="00EC7D91">
        <w:rPr>
          <w:rFonts w:eastAsia="Calibri,Bold"/>
          <w:color w:val="000000"/>
        </w:rPr>
        <w:t>realizację, w porozumieniu z wojewódzkimi urzędami ochrony zabytków oraz wyspecjalizowanymi instytucjami kultury, projektu weryfikacji miejsca przechowywania i stanu zabytków ruchomych wpisanych do rejestru oraz ich dokumentacji umożliwiającej jednoznaczną ich identyfikację w przypadku kradzieży, poprzez wykonanie aktualnej</w:t>
      </w:r>
      <w:r w:rsidRPr="00EC7D91">
        <w:rPr>
          <w:i/>
          <w:iCs/>
          <w:color w:val="000000"/>
        </w:rPr>
        <w:t xml:space="preserve"> </w:t>
      </w:r>
      <w:r w:rsidRPr="00EC7D91">
        <w:rPr>
          <w:rFonts w:eastAsia="Calibri,Bold"/>
          <w:color w:val="000000"/>
        </w:rPr>
        <w:t>dokumentacji fotograficznej, a także aktualizację wiedzy o zabytkach będącej w dyspozycji wojewódzkich konserwatorów zabytków”.</w:t>
      </w:r>
    </w:p>
    <w:p w:rsidR="00D82CF7" w:rsidRPr="00EC7D91" w:rsidRDefault="00D82CF7" w:rsidP="00EC7D91">
      <w:pPr>
        <w:pStyle w:val="Default"/>
        <w:spacing w:line="276" w:lineRule="auto"/>
        <w:jc w:val="both"/>
        <w:rPr>
          <w:rFonts w:ascii="Times New Roman" w:eastAsia="Calibri,Bold" w:hAnsi="Times New Roman" w:cs="Times New Roman"/>
        </w:rPr>
      </w:pPr>
      <w:r w:rsidRPr="00EC7D91">
        <w:rPr>
          <w:rFonts w:ascii="Times New Roman" w:hAnsi="Times New Roman" w:cs="Times New Roman"/>
        </w:rPr>
        <w:t xml:space="preserve">W wyniku analizy możliwości nawiązania współpracy i podjęcia zakładanych działań okazało się, że najważniejszą grupą zabytków, które powinny być objęte projektem jest zasób zabytków ruchomych wpisanych do rejestru. W związku z powyższym uznano, że należy zrezygnować z masowego oznakowywania zabytków ruchomych i jako priorytetowe potraktować weryfikowanie miejsca przechowywania i stanu zachowania zabytków oraz ich fotograficzną dokumentację. Środki finansowe na realizację zadania 2.2.1. nie zostały zmniejszone z uwagi na konieczność stworzenia dedykowanej bazy danych zweryfikowanych zabytków ruchomych wraz z ich dokumentacją zdjęciową. Dodatkowo, z uwagi na obecność w miejscach przechowywania zabytków ruchomych wpisanych do rejestru (głównie w obiektach sakralnych) także licznych zabytków ewidencyjnych, planuje się  weryfikację i dokumentację także i tych zabytków. Działanie takie pozwoli na bardziej efektywne i bardziej ekonomiczne wykorzystanie zarówno środków finansowych jak też pracy osób zaangażowanych w realizację zadania.  </w:t>
      </w:r>
    </w:p>
    <w:p w:rsidR="00D82CF7" w:rsidRPr="00EC7D91" w:rsidRDefault="00D82CF7" w:rsidP="00EC7D91">
      <w:pPr>
        <w:spacing w:line="276" w:lineRule="auto"/>
        <w:jc w:val="both"/>
      </w:pPr>
      <w:r w:rsidRPr="00EC7D91">
        <w:t>10) w zadaniu 3.1.1. Kampania społeczno-edukacyjna w mediach, z uwzględnieniem aspektu profilaktyki w dziedzinie ochrony zabytków i opieki nad zabytkami i dostępności do zabytków dla osób z niepełnosprawnościami</w:t>
      </w:r>
      <w:r w:rsidR="00EC7D91">
        <w:t>:</w:t>
      </w:r>
    </w:p>
    <w:p w:rsidR="00D82CF7" w:rsidRPr="00EC7D91" w:rsidRDefault="00D82CF7" w:rsidP="00EC7D91">
      <w:pPr>
        <w:spacing w:line="276" w:lineRule="auto"/>
        <w:jc w:val="both"/>
      </w:pPr>
      <w:r w:rsidRPr="00EC7D91">
        <w:lastRenderedPageBreak/>
        <w:t xml:space="preserve">- wartość wskaźnika </w:t>
      </w:r>
      <w:r w:rsidRPr="00EC7D91">
        <w:rPr>
          <w:i/>
        </w:rPr>
        <w:t xml:space="preserve">Średni odsetek zakładanej w planie liczby odbiorców w zidentyfikowanych grupach docelowych, do których w sposób potwierdzony dotarła kampania społeczno-edukacyjna </w:t>
      </w:r>
      <w:r w:rsidRPr="00EC7D91">
        <w:t xml:space="preserve">zostanie zmniejszona w 2020 r. z 25 do 0 - </w:t>
      </w:r>
      <w:r w:rsidRPr="00EC7D91">
        <w:rPr>
          <w:rFonts w:eastAsiaTheme="minorEastAsia"/>
        </w:rPr>
        <w:t>finalna wartość wskaźnika (75)</w:t>
      </w:r>
      <w:r w:rsidRPr="00EC7D91">
        <w:t xml:space="preserve"> nie uległa zmianie</w:t>
      </w:r>
      <w:r w:rsidRPr="00EC7D91">
        <w:rPr>
          <w:rFonts w:eastAsiaTheme="minorEastAsia"/>
        </w:rPr>
        <w:t xml:space="preserve">. Propozycja zmiany wysokości wskaźnika w roku 2020 wynikała z wystąpienia </w:t>
      </w:r>
      <w:r w:rsidRPr="00EC7D91">
        <w:t xml:space="preserve">epidemii COVID-19 i panujących nastrojów społecznych, które mogły przyćmić tematykę kampanii społecznych planowanych do realizacji w ramach Programu 2019-2022. W związku z powyższym rok 2020 planowano przeznaczyć na realizację przygotowań do kampanii. </w:t>
      </w:r>
    </w:p>
    <w:p w:rsidR="00D82CF7" w:rsidRPr="00EC7D91" w:rsidRDefault="00D82CF7" w:rsidP="00EC7D91">
      <w:pPr>
        <w:spacing w:line="276" w:lineRule="auto"/>
        <w:jc w:val="both"/>
        <w:rPr>
          <w:rFonts w:eastAsia="Calibri"/>
          <w:iCs/>
        </w:rPr>
      </w:pPr>
      <w:r w:rsidRPr="00EC7D91">
        <w:t xml:space="preserve">11) w zadaniu 3.2.1. </w:t>
      </w:r>
      <w:r w:rsidRPr="00EC7D91">
        <w:rPr>
          <w:rFonts w:eastAsia="Calibri"/>
          <w:iCs/>
        </w:rPr>
        <w:t xml:space="preserve">Program dotacyjny dla </w:t>
      </w:r>
      <w:proofErr w:type="spellStart"/>
      <w:r w:rsidRPr="00EC7D91">
        <w:rPr>
          <w:rFonts w:eastAsia="Calibri"/>
          <w:iCs/>
        </w:rPr>
        <w:t>NGO’s</w:t>
      </w:r>
      <w:proofErr w:type="spellEnd"/>
      <w:r w:rsidRPr="00EC7D91">
        <w:rPr>
          <w:rFonts w:eastAsia="Calibri"/>
          <w:iCs/>
        </w:rPr>
        <w:t xml:space="preserve"> w zakresie popularyzowania i upowszechniania wiedzy o dziedzictwie kulturowym, budowania świadomości lokalnej, a także włączania społeczeństwa w opiekę nad zasobem dziedzictwa kulturowego</w:t>
      </w:r>
      <w:r w:rsidR="00EC7D91">
        <w:rPr>
          <w:rFonts w:eastAsia="Calibri"/>
          <w:iCs/>
        </w:rPr>
        <w:t>:</w:t>
      </w:r>
      <w:r w:rsidRPr="00EC7D91">
        <w:rPr>
          <w:rFonts w:eastAsia="Calibri"/>
          <w:i/>
          <w:iCs/>
        </w:rPr>
        <w:t xml:space="preserve"> </w:t>
      </w:r>
    </w:p>
    <w:p w:rsidR="00D82CF7" w:rsidRPr="00EC7D91" w:rsidRDefault="00D82CF7" w:rsidP="00EC7D91">
      <w:pPr>
        <w:spacing w:line="276" w:lineRule="auto"/>
        <w:jc w:val="both"/>
        <w:rPr>
          <w:rFonts w:eastAsia="Calibri"/>
          <w:iCs/>
        </w:rPr>
      </w:pPr>
      <w:r w:rsidRPr="00EC7D91">
        <w:rPr>
          <w:rFonts w:eastAsia="Calibri"/>
          <w:iCs/>
        </w:rPr>
        <w:t xml:space="preserve">- wartość wskaźnika </w:t>
      </w:r>
      <w:r w:rsidRPr="00EC7D91">
        <w:rPr>
          <w:rFonts w:eastAsia="Calibri"/>
          <w:i/>
          <w:iCs/>
        </w:rPr>
        <w:t xml:space="preserve">Liczba wolontariuszy zaangażowanych w realizację zadań dofinansowanych w ramach programu dotacyjnego dla organizacji pozarządowych </w:t>
      </w:r>
      <w:r w:rsidRPr="00EC7D91">
        <w:rPr>
          <w:rFonts w:eastAsia="Calibri"/>
          <w:iCs/>
        </w:rPr>
        <w:t xml:space="preserve">zostanie zwiększona w 2021 r. z 900 do 1100, w 2021 r. z 1200 do 1680. </w:t>
      </w:r>
    </w:p>
    <w:p w:rsidR="00D82CF7" w:rsidRPr="00EC7D91" w:rsidRDefault="00D82CF7" w:rsidP="00EC7D91">
      <w:pPr>
        <w:spacing w:line="276" w:lineRule="auto"/>
        <w:jc w:val="both"/>
      </w:pPr>
      <w:r w:rsidRPr="00EC7D91">
        <w:rPr>
          <w:rFonts w:eastAsia="Calibri"/>
          <w:iCs/>
        </w:rPr>
        <w:t xml:space="preserve">- wartość wskaźnika </w:t>
      </w:r>
      <w:r w:rsidRPr="00EC7D91">
        <w:rPr>
          <w:i/>
          <w:iCs/>
        </w:rPr>
        <w:t xml:space="preserve">Liczba odbiorców zadań popularyzatorskich dofinansowanych w ramach programu dotacyjnego dla organizacji pozarządowych </w:t>
      </w:r>
      <w:r w:rsidRPr="00EC7D91">
        <w:t>zostanie zwiększona w 2021 r. z 1500 do 4000, w 2021 r. z 2000 do 7000.</w:t>
      </w:r>
    </w:p>
    <w:p w:rsidR="00D82CF7" w:rsidRPr="00EC7D91" w:rsidRDefault="00D82CF7" w:rsidP="00EC7D91">
      <w:pPr>
        <w:spacing w:line="276" w:lineRule="auto"/>
        <w:jc w:val="both"/>
      </w:pPr>
      <w:r w:rsidRPr="00EC7D91">
        <w:t xml:space="preserve">Pierwotny, całkowity zakładany budżet w zadaniu 3.2.1. na dotacje w Programie dotacyjnym dla </w:t>
      </w:r>
      <w:proofErr w:type="spellStart"/>
      <w:r w:rsidRPr="00EC7D91">
        <w:t>NGO’s</w:t>
      </w:r>
      <w:proofErr w:type="spellEnd"/>
      <w:r w:rsidRPr="00EC7D91">
        <w:t xml:space="preserve"> wynosił 3 000 000,00 zł przy wskaźnikach finalnych 1200 </w:t>
      </w:r>
      <w:r w:rsidRPr="00EC7D91">
        <w:rPr>
          <w:i/>
          <w:iCs/>
        </w:rPr>
        <w:t>wolontariuszy zaangażowanych w realizację zadań</w:t>
      </w:r>
      <w:r w:rsidRPr="00EC7D91">
        <w:t xml:space="preserve"> oraz 2000 </w:t>
      </w:r>
      <w:r w:rsidRPr="00EC7D91">
        <w:rPr>
          <w:i/>
          <w:iCs/>
        </w:rPr>
        <w:t>odbiorców zadań popularyzatorskich</w:t>
      </w:r>
      <w:r w:rsidRPr="00EC7D91">
        <w:t>. Proponowane zwiększenie ogólnej kwoty środków z budżetu państwa o kwotę 1 600 000 zł oraz przesunięcia budżetowe w ramach dotychczasowego budżetu pozwolą przeznaczyć na ten cel w sumie 5 500 000,00 zł. W podziale na lata zwiększenie przedstawiałoby się następująco: w 2021 r. z 1 000 000,00  zł do 2 300 000,00 zł, w 2022 r. z 1 000 000,00 zł do 2 500 000,00.</w:t>
      </w:r>
    </w:p>
    <w:p w:rsidR="00D82CF7" w:rsidRPr="00EC7D91" w:rsidRDefault="00D82CF7" w:rsidP="00EC7D91">
      <w:pPr>
        <w:spacing w:line="276" w:lineRule="auto"/>
        <w:jc w:val="both"/>
      </w:pPr>
      <w:r w:rsidRPr="00EC7D91">
        <w:t xml:space="preserve">Potrzeba zwiększenia budżetu Programu dotacyjny wynika z analizy kolejnych naborów do Programu „Wspólnie dla dziedzictwa”, w których kwota wniosków spełniających kryterium do otrzymania dofinansowania, czyli z oceną powyżej 70 punktów, znacznie przerasta możliwości finansowe Programu.  </w:t>
      </w:r>
    </w:p>
    <w:p w:rsidR="00D82CF7" w:rsidRPr="00EC7D91" w:rsidRDefault="00D82CF7" w:rsidP="00EC7D91">
      <w:pPr>
        <w:pStyle w:val="Akapitzlist"/>
        <w:spacing w:line="276" w:lineRule="auto"/>
        <w:jc w:val="both"/>
        <w:rPr>
          <w:rFonts w:ascii="Times New Roman" w:hAnsi="Times New Roman" w:cs="Times New Roman"/>
          <w:sz w:val="24"/>
          <w:szCs w:val="24"/>
        </w:rPr>
      </w:pPr>
    </w:p>
    <w:tbl>
      <w:tblPr>
        <w:tblW w:w="8140" w:type="dxa"/>
        <w:jc w:val="center"/>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shd w:val="clear" w:color="auto" w:fill="FFFFFF" w:themeFill="background1"/>
        <w:tblCellMar>
          <w:left w:w="70" w:type="dxa"/>
          <w:right w:w="70" w:type="dxa"/>
        </w:tblCellMar>
        <w:tblLook w:val="04A0" w:firstRow="1" w:lastRow="0" w:firstColumn="1" w:lastColumn="0" w:noHBand="0" w:noVBand="1"/>
      </w:tblPr>
      <w:tblGrid>
        <w:gridCol w:w="1800"/>
        <w:gridCol w:w="2023"/>
        <w:gridCol w:w="2457"/>
        <w:gridCol w:w="1860"/>
      </w:tblGrid>
      <w:tr w:rsidR="00D82CF7" w:rsidRPr="00EC7D91" w:rsidTr="004B01F7">
        <w:trPr>
          <w:trHeight w:val="774"/>
          <w:jc w:val="center"/>
        </w:trPr>
        <w:tc>
          <w:tcPr>
            <w:tcW w:w="1800" w:type="dxa"/>
            <w:shd w:val="clear" w:color="auto" w:fill="FFFFFF" w:themeFill="background1"/>
            <w:vAlign w:val="bottom"/>
            <w:hideMark/>
          </w:tcPr>
          <w:p w:rsidR="00D82CF7" w:rsidRPr="00EC7D91" w:rsidRDefault="00D82CF7" w:rsidP="00EC7D91">
            <w:pPr>
              <w:spacing w:line="276" w:lineRule="auto"/>
              <w:rPr>
                <w:b/>
                <w:bCs/>
                <w:color w:val="000000"/>
              </w:rPr>
            </w:pPr>
            <w:r w:rsidRPr="00EC7D91">
              <w:rPr>
                <w:b/>
                <w:bCs/>
                <w:color w:val="000000"/>
              </w:rPr>
              <w:t>rok przyznania dotacji</w:t>
            </w:r>
          </w:p>
        </w:tc>
        <w:tc>
          <w:tcPr>
            <w:tcW w:w="2023" w:type="dxa"/>
            <w:shd w:val="clear" w:color="auto" w:fill="FFFFFF" w:themeFill="background1"/>
            <w:vAlign w:val="bottom"/>
            <w:hideMark/>
          </w:tcPr>
          <w:p w:rsidR="00D82CF7" w:rsidRPr="00EC7D91" w:rsidRDefault="00D82CF7" w:rsidP="00EC7D91">
            <w:pPr>
              <w:spacing w:line="276" w:lineRule="auto"/>
              <w:rPr>
                <w:b/>
                <w:bCs/>
                <w:color w:val="000000"/>
              </w:rPr>
            </w:pPr>
            <w:r w:rsidRPr="00EC7D91">
              <w:rPr>
                <w:b/>
                <w:bCs/>
                <w:color w:val="000000"/>
              </w:rPr>
              <w:t>kwota złożonych wniosków</w:t>
            </w:r>
          </w:p>
        </w:tc>
        <w:tc>
          <w:tcPr>
            <w:tcW w:w="2457" w:type="dxa"/>
            <w:shd w:val="clear" w:color="auto" w:fill="FFFFFF" w:themeFill="background1"/>
            <w:vAlign w:val="bottom"/>
            <w:hideMark/>
          </w:tcPr>
          <w:p w:rsidR="00D82CF7" w:rsidRPr="00EC7D91" w:rsidRDefault="00D82CF7" w:rsidP="00EC7D91">
            <w:pPr>
              <w:spacing w:line="276" w:lineRule="auto"/>
              <w:rPr>
                <w:b/>
                <w:bCs/>
                <w:color w:val="000000"/>
              </w:rPr>
            </w:pPr>
            <w:r w:rsidRPr="00EC7D91">
              <w:rPr>
                <w:b/>
                <w:bCs/>
                <w:color w:val="000000"/>
              </w:rPr>
              <w:t>kwota wniosków, które spełniały kryteria do otrzymania dofinansowania</w:t>
            </w:r>
          </w:p>
        </w:tc>
        <w:tc>
          <w:tcPr>
            <w:tcW w:w="1860" w:type="dxa"/>
            <w:shd w:val="clear" w:color="auto" w:fill="FFFFFF" w:themeFill="background1"/>
            <w:vAlign w:val="bottom"/>
            <w:hideMark/>
          </w:tcPr>
          <w:p w:rsidR="00D82CF7" w:rsidRPr="00EC7D91" w:rsidRDefault="00D82CF7" w:rsidP="00EC7D91">
            <w:pPr>
              <w:spacing w:line="276" w:lineRule="auto"/>
              <w:rPr>
                <w:b/>
                <w:bCs/>
                <w:color w:val="000000"/>
              </w:rPr>
            </w:pPr>
            <w:r w:rsidRPr="00EC7D91">
              <w:rPr>
                <w:b/>
                <w:bCs/>
                <w:color w:val="000000"/>
              </w:rPr>
              <w:t>kwota przyznana</w:t>
            </w:r>
          </w:p>
        </w:tc>
      </w:tr>
      <w:tr w:rsidR="00D82CF7" w:rsidRPr="00EC7D91" w:rsidTr="004B01F7">
        <w:trPr>
          <w:trHeight w:val="290"/>
          <w:jc w:val="center"/>
        </w:trPr>
        <w:tc>
          <w:tcPr>
            <w:tcW w:w="1800"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2016</w:t>
            </w:r>
          </w:p>
        </w:tc>
        <w:tc>
          <w:tcPr>
            <w:tcW w:w="2023"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2 150 092,00</w:t>
            </w:r>
          </w:p>
        </w:tc>
        <w:tc>
          <w:tcPr>
            <w:tcW w:w="2457"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906 266,00</w:t>
            </w:r>
          </w:p>
        </w:tc>
        <w:tc>
          <w:tcPr>
            <w:tcW w:w="1860"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906 266,00</w:t>
            </w:r>
          </w:p>
        </w:tc>
      </w:tr>
      <w:tr w:rsidR="00D82CF7" w:rsidRPr="00EC7D91" w:rsidTr="004B01F7">
        <w:trPr>
          <w:trHeight w:val="290"/>
          <w:jc w:val="center"/>
        </w:trPr>
        <w:tc>
          <w:tcPr>
            <w:tcW w:w="1800"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2017</w:t>
            </w:r>
          </w:p>
        </w:tc>
        <w:tc>
          <w:tcPr>
            <w:tcW w:w="2023"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3 090 913,39</w:t>
            </w:r>
          </w:p>
        </w:tc>
        <w:tc>
          <w:tcPr>
            <w:tcW w:w="2457"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1 745 814,00</w:t>
            </w:r>
          </w:p>
        </w:tc>
        <w:tc>
          <w:tcPr>
            <w:tcW w:w="1860"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1 000 000,00</w:t>
            </w:r>
          </w:p>
        </w:tc>
      </w:tr>
      <w:tr w:rsidR="00D82CF7" w:rsidRPr="00EC7D91" w:rsidTr="004B01F7">
        <w:trPr>
          <w:trHeight w:val="290"/>
          <w:jc w:val="center"/>
        </w:trPr>
        <w:tc>
          <w:tcPr>
            <w:tcW w:w="1800"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2018</w:t>
            </w:r>
          </w:p>
        </w:tc>
        <w:tc>
          <w:tcPr>
            <w:tcW w:w="2023"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6 442 921,11</w:t>
            </w:r>
          </w:p>
        </w:tc>
        <w:tc>
          <w:tcPr>
            <w:tcW w:w="2457"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2 188 897,00</w:t>
            </w:r>
          </w:p>
        </w:tc>
        <w:tc>
          <w:tcPr>
            <w:tcW w:w="1860"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1 000 000,00</w:t>
            </w:r>
          </w:p>
        </w:tc>
      </w:tr>
      <w:tr w:rsidR="00D82CF7" w:rsidRPr="00EC7D91" w:rsidTr="004B01F7">
        <w:trPr>
          <w:trHeight w:val="290"/>
          <w:jc w:val="center"/>
        </w:trPr>
        <w:tc>
          <w:tcPr>
            <w:tcW w:w="1800"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2019</w:t>
            </w:r>
          </w:p>
        </w:tc>
        <w:tc>
          <w:tcPr>
            <w:tcW w:w="2023"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8 463 945,96</w:t>
            </w:r>
          </w:p>
        </w:tc>
        <w:tc>
          <w:tcPr>
            <w:tcW w:w="2457"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3 635 363,00</w:t>
            </w:r>
          </w:p>
        </w:tc>
        <w:tc>
          <w:tcPr>
            <w:tcW w:w="1860"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1 000 000,00</w:t>
            </w:r>
          </w:p>
        </w:tc>
      </w:tr>
      <w:tr w:rsidR="00D82CF7" w:rsidRPr="00EC7D91" w:rsidTr="004B01F7">
        <w:trPr>
          <w:trHeight w:val="290"/>
          <w:jc w:val="center"/>
        </w:trPr>
        <w:tc>
          <w:tcPr>
            <w:tcW w:w="1800"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2020</w:t>
            </w:r>
          </w:p>
        </w:tc>
        <w:tc>
          <w:tcPr>
            <w:tcW w:w="2023"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9 281 091,95</w:t>
            </w:r>
          </w:p>
        </w:tc>
        <w:tc>
          <w:tcPr>
            <w:tcW w:w="2457"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2 427 007,74</w:t>
            </w:r>
          </w:p>
        </w:tc>
        <w:tc>
          <w:tcPr>
            <w:tcW w:w="1860" w:type="dxa"/>
            <w:shd w:val="clear" w:color="auto" w:fill="FFFFFF" w:themeFill="background1"/>
            <w:vAlign w:val="bottom"/>
            <w:hideMark/>
          </w:tcPr>
          <w:p w:rsidR="00D82CF7" w:rsidRPr="00EC7D91" w:rsidRDefault="00D82CF7" w:rsidP="00EC7D91">
            <w:pPr>
              <w:spacing w:line="276" w:lineRule="auto"/>
              <w:jc w:val="right"/>
              <w:rPr>
                <w:color w:val="000000"/>
              </w:rPr>
            </w:pPr>
            <w:r w:rsidRPr="00EC7D91">
              <w:rPr>
                <w:color w:val="000000"/>
              </w:rPr>
              <w:t>700 000,00</w:t>
            </w:r>
          </w:p>
        </w:tc>
      </w:tr>
    </w:tbl>
    <w:p w:rsidR="00D82CF7" w:rsidRPr="00EC7D91" w:rsidRDefault="00D82CF7" w:rsidP="00EC7D91">
      <w:pPr>
        <w:spacing w:line="276" w:lineRule="auto"/>
        <w:jc w:val="both"/>
        <w:rPr>
          <w:rFonts w:eastAsia="Calibri"/>
        </w:rPr>
      </w:pPr>
    </w:p>
    <w:p w:rsidR="00D82CF7" w:rsidRPr="00EC7D91" w:rsidRDefault="00D82CF7" w:rsidP="00EC7D91">
      <w:pPr>
        <w:spacing w:line="276" w:lineRule="auto"/>
        <w:jc w:val="both"/>
      </w:pPr>
    </w:p>
    <w:p w:rsidR="00D82CF7" w:rsidRPr="00EC7D91" w:rsidRDefault="00D82CF7" w:rsidP="00EC7D91">
      <w:pPr>
        <w:spacing w:line="276" w:lineRule="auto"/>
        <w:ind w:firstLine="708"/>
        <w:jc w:val="both"/>
      </w:pPr>
      <w:r w:rsidRPr="00EC7D91">
        <w:t xml:space="preserve">Projektowana uchwała nie podlega procedurze notyfikacji w rozumieniu przepisów rozporządzenia Rady Ministrów z dnia 23 grudnia 2002 r. w sprawie sposobu funkcjonowania krajowego systemu notyfikacji norm i aktów prawnych (Dz. U. poz. 2039 oraz z 2004 r. poz. 597). </w:t>
      </w:r>
    </w:p>
    <w:p w:rsidR="00D82CF7" w:rsidRPr="00EC7D91" w:rsidRDefault="00D82CF7" w:rsidP="00EC7D91">
      <w:pPr>
        <w:spacing w:line="276" w:lineRule="auto"/>
        <w:ind w:firstLine="708"/>
        <w:jc w:val="both"/>
      </w:pPr>
      <w:r w:rsidRPr="00EC7D91">
        <w:lastRenderedPageBreak/>
        <w:t>Nie zachodzi również konieczność przedstawienia projektu uchwały właściwym organom i instytucjom Unii Europejskiej, w tym Europejskiemu Bankowi Centralnemu, w celu uzyskania opinii, dokonania powiadomienia, konsultacji albo uzgodnienia.</w:t>
      </w:r>
    </w:p>
    <w:p w:rsidR="00D82CF7" w:rsidRPr="00EC7D91" w:rsidRDefault="00D82CF7" w:rsidP="00EC7D91">
      <w:pPr>
        <w:spacing w:line="276" w:lineRule="auto"/>
        <w:jc w:val="both"/>
      </w:pPr>
      <w:r w:rsidRPr="00EC7D91">
        <w:t>Przedmiot projektu uchwały nie jest regulowany prawem Unii Europejskiej.</w:t>
      </w:r>
    </w:p>
    <w:p w:rsidR="00D82CF7" w:rsidRPr="00EC7D91" w:rsidRDefault="00D82CF7" w:rsidP="00EC7D91">
      <w:pPr>
        <w:spacing w:line="276" w:lineRule="auto"/>
        <w:ind w:firstLine="708"/>
        <w:jc w:val="both"/>
      </w:pPr>
      <w:r w:rsidRPr="00EC7D91">
        <w:t>Projekt uchwały został zamieszczony w Biuletynie Informacji Publicznej na stronie podmiotowej Rządowego Centrum Legislacji, w serwisie „Rządowy Proces Legislacyjny”.</w:t>
      </w:r>
    </w:p>
    <w:p w:rsidR="00D82CF7" w:rsidRPr="00EC7D91" w:rsidRDefault="00D82CF7" w:rsidP="00EC7D91">
      <w:pPr>
        <w:spacing w:line="276" w:lineRule="auto"/>
        <w:ind w:firstLine="708"/>
        <w:jc w:val="both"/>
      </w:pPr>
      <w:r w:rsidRPr="00EC7D91">
        <w:t xml:space="preserve">Wejście w życie projektowanej uchwały nie będzie miało wpływu na działalność </w:t>
      </w:r>
      <w:proofErr w:type="spellStart"/>
      <w:r w:rsidRPr="00EC7D91">
        <w:t>mikroprzedsiębiorców</w:t>
      </w:r>
      <w:proofErr w:type="spellEnd"/>
      <w:r w:rsidRPr="00EC7D91">
        <w:t>, małych i średnich przedsiębiorców.</w:t>
      </w:r>
    </w:p>
    <w:p w:rsidR="00681D40" w:rsidRPr="00EC7D91" w:rsidRDefault="00681D40" w:rsidP="00EC7D91">
      <w:pPr>
        <w:spacing w:line="276" w:lineRule="auto"/>
      </w:pPr>
    </w:p>
    <w:sectPr w:rsidR="00681D40" w:rsidRPr="00EC7D91" w:rsidSect="0050362A">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CBE" w:rsidRDefault="00295CBE" w:rsidP="00D82CF7">
      <w:r>
        <w:separator/>
      </w:r>
    </w:p>
  </w:endnote>
  <w:endnote w:type="continuationSeparator" w:id="0">
    <w:p w:rsidR="00295CBE" w:rsidRDefault="00295CBE" w:rsidP="00D8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uli Light">
    <w:altName w:val="Times New Roman"/>
    <w:charset w:val="EE"/>
    <w:family w:val="auto"/>
    <w:pitch w:val="variable"/>
    <w:sig w:usb0="00000001" w:usb1="5000204B" w:usb2="00000000" w:usb3="00000000" w:csb0="00000193" w:csb1="00000000"/>
  </w:font>
  <w:font w:name="Calibri,Bold">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CBE" w:rsidRDefault="00295CBE" w:rsidP="00D82CF7">
      <w:r>
        <w:separator/>
      </w:r>
    </w:p>
  </w:footnote>
  <w:footnote w:type="continuationSeparator" w:id="0">
    <w:p w:rsidR="00295CBE" w:rsidRDefault="00295CBE" w:rsidP="00D82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A2F" w:rsidRPr="00C51AAE" w:rsidRDefault="00D82CF7" w:rsidP="00FE786A">
    <w:pPr>
      <w:pStyle w:val="Nagwek"/>
      <w:tabs>
        <w:tab w:val="clear" w:pos="4536"/>
        <w:tab w:val="clear" w:pos="9072"/>
        <w:tab w:val="left" w:pos="5895"/>
      </w:tabs>
      <w:jc w:val="right"/>
      <w:rPr>
        <w:sz w:val="22"/>
        <w:szCs w:val="22"/>
        <w:u w:val="single"/>
      </w:rPr>
    </w:pPr>
    <w:r>
      <w:tab/>
    </w:r>
    <w:r>
      <w:rPr>
        <w:sz w:val="22"/>
        <w:szCs w:val="22"/>
        <w:u w:val="single"/>
      </w:rPr>
      <w:t xml:space="preserve">Projekt z dnia </w:t>
    </w:r>
    <w:r w:rsidR="00780372">
      <w:rPr>
        <w:sz w:val="22"/>
        <w:szCs w:val="22"/>
        <w:u w:val="single"/>
      </w:rPr>
      <w:t xml:space="preserve">15 </w:t>
    </w:r>
    <w:r>
      <w:rPr>
        <w:sz w:val="22"/>
        <w:szCs w:val="22"/>
        <w:u w:val="single"/>
      </w:rPr>
      <w:t>marca</w:t>
    </w:r>
    <w:r w:rsidRPr="00C51AAE">
      <w:rPr>
        <w:sz w:val="22"/>
        <w:szCs w:val="22"/>
        <w:u w:val="single"/>
      </w:rPr>
      <w:t xml:space="preserve"> 202</w:t>
    </w:r>
    <w:r>
      <w:rPr>
        <w:sz w:val="22"/>
        <w:szCs w:val="22"/>
        <w:u w:val="single"/>
      </w:rPr>
      <w:t>1</w:t>
    </w:r>
    <w:r w:rsidRPr="00C51AAE">
      <w:rPr>
        <w:sz w:val="22"/>
        <w:szCs w:val="22"/>
        <w:u w:val="single"/>
      </w:rPr>
      <w:t xml:space="preserve"> 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F7"/>
    <w:rsid w:val="00080595"/>
    <w:rsid w:val="001A79DF"/>
    <w:rsid w:val="00295CBE"/>
    <w:rsid w:val="002E7E59"/>
    <w:rsid w:val="003532B5"/>
    <w:rsid w:val="00553069"/>
    <w:rsid w:val="005B4922"/>
    <w:rsid w:val="00681D40"/>
    <w:rsid w:val="00780372"/>
    <w:rsid w:val="00AB1A29"/>
    <w:rsid w:val="00B47B68"/>
    <w:rsid w:val="00D82CF7"/>
    <w:rsid w:val="00EC7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86D46-E0A5-451C-AE75-11E9D34A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2CF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uiPriority w:val="11"/>
    <w:qFormat/>
    <w:rsid w:val="00D82CF7"/>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D82CF7"/>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D82CF7"/>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PKTpunkt">
    <w:name w:val="PKT – punkt"/>
    <w:uiPriority w:val="13"/>
    <w:qFormat/>
    <w:rsid w:val="00D82CF7"/>
    <w:pPr>
      <w:spacing w:after="0" w:line="360" w:lineRule="auto"/>
      <w:ind w:left="510" w:hanging="510"/>
      <w:jc w:val="both"/>
    </w:pPr>
    <w:rPr>
      <w:rFonts w:ascii="Times" w:eastAsiaTheme="minorEastAsia" w:hAnsi="Times" w:cs="Arial"/>
      <w:bCs/>
      <w:sz w:val="24"/>
      <w:szCs w:val="20"/>
      <w:lang w:eastAsia="pl-PL"/>
    </w:rPr>
  </w:style>
  <w:style w:type="character" w:styleId="Pogrubienie">
    <w:name w:val="Strong"/>
    <w:basedOn w:val="Domylnaczcionkaakapitu"/>
    <w:uiPriority w:val="22"/>
    <w:qFormat/>
    <w:rsid w:val="00D82CF7"/>
    <w:rPr>
      <w:b/>
      <w:bCs/>
    </w:rPr>
  </w:style>
  <w:style w:type="paragraph" w:styleId="Nagwek">
    <w:name w:val="header"/>
    <w:basedOn w:val="Normalny"/>
    <w:link w:val="NagwekZnak"/>
    <w:uiPriority w:val="99"/>
    <w:unhideWhenUsed/>
    <w:rsid w:val="00D82CF7"/>
    <w:pPr>
      <w:tabs>
        <w:tab w:val="center" w:pos="4536"/>
        <w:tab w:val="right" w:pos="9072"/>
      </w:tabs>
    </w:pPr>
  </w:style>
  <w:style w:type="character" w:customStyle="1" w:styleId="NagwekZnak">
    <w:name w:val="Nagłówek Znak"/>
    <w:basedOn w:val="Domylnaczcionkaakapitu"/>
    <w:link w:val="Nagwek"/>
    <w:uiPriority w:val="99"/>
    <w:rsid w:val="00D82CF7"/>
    <w:rPr>
      <w:rFonts w:ascii="Times New Roman" w:eastAsia="Times New Roman" w:hAnsi="Times New Roman" w:cs="Times New Roman"/>
      <w:sz w:val="24"/>
      <w:szCs w:val="24"/>
      <w:lang w:eastAsia="pl-PL"/>
    </w:rPr>
  </w:style>
  <w:style w:type="paragraph" w:customStyle="1" w:styleId="Default">
    <w:name w:val="Default"/>
    <w:rsid w:val="00D82CF7"/>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D82CF7"/>
    <w:pPr>
      <w:spacing w:line="320" w:lineRule="exact"/>
      <w:ind w:left="720"/>
      <w:contextualSpacing/>
    </w:pPr>
    <w:rPr>
      <w:rFonts w:ascii="Muli Light" w:eastAsiaTheme="minorHAnsi" w:hAnsi="Muli Light" w:cstheme="minorBidi"/>
      <w:sz w:val="20"/>
      <w:szCs w:val="22"/>
      <w:lang w:eastAsia="en-US"/>
    </w:rPr>
  </w:style>
  <w:style w:type="paragraph" w:styleId="Stopka">
    <w:name w:val="footer"/>
    <w:basedOn w:val="Normalny"/>
    <w:link w:val="StopkaZnak"/>
    <w:uiPriority w:val="99"/>
    <w:unhideWhenUsed/>
    <w:rsid w:val="00D82CF7"/>
    <w:pPr>
      <w:tabs>
        <w:tab w:val="center" w:pos="4536"/>
        <w:tab w:val="right" w:pos="9072"/>
      </w:tabs>
    </w:pPr>
  </w:style>
  <w:style w:type="character" w:customStyle="1" w:styleId="StopkaZnak">
    <w:name w:val="Stopka Znak"/>
    <w:basedOn w:val="Domylnaczcionkaakapitu"/>
    <w:link w:val="Stopka"/>
    <w:uiPriority w:val="99"/>
    <w:rsid w:val="00D82CF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orz&#261;d.nid.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3315</Words>
  <Characters>19892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Jackiewicz</dc:creator>
  <cp:keywords/>
  <dc:description/>
  <cp:lastModifiedBy>Radziszewska Marzena</cp:lastModifiedBy>
  <cp:revision>2</cp:revision>
  <dcterms:created xsi:type="dcterms:W3CDTF">2021-04-06T08:52:00Z</dcterms:created>
  <dcterms:modified xsi:type="dcterms:W3CDTF">2021-04-06T08:52:00Z</dcterms:modified>
</cp:coreProperties>
</file>