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4D" w:rsidRDefault="00CA24B0" w:rsidP="006F0D4D">
      <w:pPr>
        <w:spacing w:after="0" w:line="240" w:lineRule="auto"/>
        <w:jc w:val="center"/>
      </w:pPr>
      <w:r>
        <w:t>S</w:t>
      </w:r>
      <w:r w:rsidR="006F0D4D">
        <w:t>tanowisko</w:t>
      </w:r>
      <w:r w:rsidR="001F38BF">
        <w:t xml:space="preserve"> </w:t>
      </w:r>
      <w:r w:rsidR="006F0D4D">
        <w:t>Związku Miast Polskich</w:t>
      </w:r>
    </w:p>
    <w:p w:rsidR="006F0D4D" w:rsidRDefault="006F0D4D" w:rsidP="006F0D4D">
      <w:pPr>
        <w:spacing w:after="0" w:line="240" w:lineRule="auto"/>
        <w:jc w:val="center"/>
      </w:pPr>
      <w:r>
        <w:t xml:space="preserve">w sprawie </w:t>
      </w:r>
    </w:p>
    <w:p w:rsidR="006F0D4D" w:rsidRPr="006F0D4D" w:rsidRDefault="006F0D4D" w:rsidP="006F0D4D">
      <w:pPr>
        <w:spacing w:after="0" w:line="240" w:lineRule="auto"/>
        <w:jc w:val="center"/>
        <w:rPr>
          <w:b/>
        </w:rPr>
      </w:pPr>
      <w:r w:rsidRPr="006F0D4D">
        <w:rPr>
          <w:b/>
        </w:rPr>
        <w:t>projektu Krajowego Planu Odbudowy</w:t>
      </w:r>
    </w:p>
    <w:p w:rsidR="006F0D4D" w:rsidRPr="00223169" w:rsidRDefault="006F0D4D" w:rsidP="006F0D4D">
      <w:pPr>
        <w:spacing w:after="0" w:line="240" w:lineRule="auto"/>
        <w:rPr>
          <w:sz w:val="12"/>
          <w:szCs w:val="12"/>
        </w:rPr>
      </w:pPr>
    </w:p>
    <w:p w:rsidR="006F0D4D" w:rsidRPr="00537F3D" w:rsidRDefault="006F0D4D" w:rsidP="00223169">
      <w:pPr>
        <w:shd w:val="clear" w:color="auto" w:fill="F2F2F2" w:themeFill="background1" w:themeFillShade="F2"/>
        <w:spacing w:after="80" w:line="240" w:lineRule="auto"/>
        <w:ind w:firstLine="284"/>
        <w:rPr>
          <w:b/>
        </w:rPr>
      </w:pPr>
      <w:r w:rsidRPr="00537F3D">
        <w:rPr>
          <w:b/>
        </w:rPr>
        <w:t>Przygotowanie projektu</w:t>
      </w:r>
    </w:p>
    <w:p w:rsidR="006F0D4D" w:rsidRDefault="006F0D4D" w:rsidP="00223169">
      <w:pPr>
        <w:spacing w:after="80" w:line="240" w:lineRule="auto"/>
        <w:ind w:firstLine="284"/>
        <w:jc w:val="both"/>
        <w:rPr>
          <w:spacing w:val="-4"/>
        </w:rPr>
      </w:pPr>
      <w:r w:rsidRPr="006F0D4D">
        <w:rPr>
          <w:spacing w:val="-4"/>
        </w:rPr>
        <w:t>W połowie ubiegłego roku po raz pierwszy resort funduszy i polityki regionalnej zwrócił się do samo</w:t>
      </w:r>
      <w:r w:rsidRPr="006F0D4D">
        <w:rPr>
          <w:spacing w:val="-4"/>
        </w:rPr>
        <w:softHyphen/>
        <w:t>rządów – za pośrednictwem urzędów marszałkowskich – o zgłaszanie propozycji działań w ramach przysz</w:t>
      </w:r>
      <w:r w:rsidR="008B18C8">
        <w:rPr>
          <w:spacing w:val="-4"/>
        </w:rPr>
        <w:softHyphen/>
      </w:r>
      <w:r w:rsidRPr="006F0D4D">
        <w:rPr>
          <w:spacing w:val="-4"/>
        </w:rPr>
        <w:t xml:space="preserve">łego Krajowego Planu Odbudowy. Wskazano </w:t>
      </w:r>
      <w:r w:rsidR="008B18C8">
        <w:rPr>
          <w:spacing w:val="-4"/>
        </w:rPr>
        <w:t xml:space="preserve">kilkanaście </w:t>
      </w:r>
      <w:r w:rsidRPr="006F0D4D">
        <w:rPr>
          <w:spacing w:val="-4"/>
        </w:rPr>
        <w:t>potencjaln</w:t>
      </w:r>
      <w:r w:rsidR="008B18C8">
        <w:rPr>
          <w:spacing w:val="-4"/>
        </w:rPr>
        <w:t>ych</w:t>
      </w:r>
      <w:r w:rsidRPr="006F0D4D">
        <w:rPr>
          <w:spacing w:val="-4"/>
        </w:rPr>
        <w:t xml:space="preserve"> obszar</w:t>
      </w:r>
      <w:r w:rsidR="008B18C8">
        <w:rPr>
          <w:spacing w:val="-4"/>
        </w:rPr>
        <w:t>ów</w:t>
      </w:r>
      <w:r w:rsidRPr="006F0D4D">
        <w:rPr>
          <w:spacing w:val="-4"/>
        </w:rPr>
        <w:t xml:space="preserve"> interwencji, całkowicie odmienn</w:t>
      </w:r>
      <w:r w:rsidR="008B18C8">
        <w:rPr>
          <w:spacing w:val="-4"/>
        </w:rPr>
        <w:t>ych</w:t>
      </w:r>
      <w:r w:rsidRPr="006F0D4D">
        <w:rPr>
          <w:spacing w:val="-4"/>
        </w:rPr>
        <w:t xml:space="preserve"> od tych, które ostatecznie znalazły się w </w:t>
      </w:r>
      <w:r w:rsidR="00134BBF">
        <w:rPr>
          <w:spacing w:val="-4"/>
        </w:rPr>
        <w:t xml:space="preserve">opublikowanym </w:t>
      </w:r>
      <w:r w:rsidRPr="006F0D4D">
        <w:rPr>
          <w:spacing w:val="-4"/>
        </w:rPr>
        <w:t>projekcie KPO</w:t>
      </w:r>
      <w:r>
        <w:rPr>
          <w:spacing w:val="-4"/>
        </w:rPr>
        <w:t>. Związek Miast Polskich przedstawił także swoje wstępne, robocze p</w:t>
      </w:r>
      <w:r w:rsidR="008B18C8">
        <w:rPr>
          <w:spacing w:val="-4"/>
        </w:rPr>
        <w:t>ostulaty</w:t>
      </w:r>
      <w:r>
        <w:rPr>
          <w:spacing w:val="-4"/>
        </w:rPr>
        <w:t>.</w:t>
      </w:r>
      <w:r w:rsidR="008B18C8">
        <w:rPr>
          <w:spacing w:val="-4"/>
        </w:rPr>
        <w:t xml:space="preserve"> </w:t>
      </w:r>
      <w:r>
        <w:rPr>
          <w:spacing w:val="-4"/>
        </w:rPr>
        <w:t>Rządowy projekt Planu nie odn</w:t>
      </w:r>
      <w:r w:rsidR="008B18C8">
        <w:rPr>
          <w:spacing w:val="-4"/>
        </w:rPr>
        <w:t>iósł</w:t>
      </w:r>
      <w:r>
        <w:rPr>
          <w:spacing w:val="-4"/>
        </w:rPr>
        <w:t xml:space="preserve"> się </w:t>
      </w:r>
      <w:r w:rsidR="008B18C8">
        <w:rPr>
          <w:spacing w:val="-4"/>
        </w:rPr>
        <w:t>na żadnym etapie prac nad projektem</w:t>
      </w:r>
      <w:r>
        <w:rPr>
          <w:spacing w:val="-4"/>
        </w:rPr>
        <w:t xml:space="preserve"> do </w:t>
      </w:r>
      <w:r w:rsidR="008B18C8">
        <w:rPr>
          <w:spacing w:val="-4"/>
        </w:rPr>
        <w:t>propo</w:t>
      </w:r>
      <w:r w:rsidR="008B18C8">
        <w:rPr>
          <w:spacing w:val="-4"/>
        </w:rPr>
        <w:softHyphen/>
        <w:t>zycji zgło</w:t>
      </w:r>
      <w:r w:rsidR="008B18C8">
        <w:rPr>
          <w:spacing w:val="-4"/>
        </w:rPr>
        <w:softHyphen/>
        <w:t xml:space="preserve">szonych przez samorządy w 2020 roku. </w:t>
      </w:r>
    </w:p>
    <w:p w:rsidR="008B18C8" w:rsidRDefault="008B18C8" w:rsidP="00223169">
      <w:pPr>
        <w:spacing w:after="80" w:line="240" w:lineRule="auto"/>
        <w:ind w:firstLine="284"/>
        <w:jc w:val="both"/>
        <w:rPr>
          <w:spacing w:val="-4"/>
        </w:rPr>
      </w:pPr>
      <w:r w:rsidRPr="00E46E1B">
        <w:rPr>
          <w:spacing w:val="-5"/>
        </w:rPr>
        <w:t>Obecne konsultacje, które trwa</w:t>
      </w:r>
      <w:r w:rsidR="00E46E1B" w:rsidRPr="00E46E1B">
        <w:rPr>
          <w:spacing w:val="-5"/>
        </w:rPr>
        <w:t>ły</w:t>
      </w:r>
      <w:r w:rsidRPr="00E46E1B">
        <w:rPr>
          <w:spacing w:val="-5"/>
        </w:rPr>
        <w:t xml:space="preserve"> około miesiąca, w żaden sposób nie </w:t>
      </w:r>
      <w:r w:rsidR="00D6444E" w:rsidRPr="00E46E1B">
        <w:rPr>
          <w:spacing w:val="-5"/>
        </w:rPr>
        <w:t>pozwalają stwierdzić</w:t>
      </w:r>
      <w:r w:rsidRPr="00E46E1B">
        <w:rPr>
          <w:spacing w:val="-5"/>
        </w:rPr>
        <w:t>, że</w:t>
      </w:r>
      <w:r>
        <w:rPr>
          <w:spacing w:val="-4"/>
        </w:rPr>
        <w:t xml:space="preserve"> samorządy miały jakikolwiek wpływ na kształt projektu KPO.</w:t>
      </w:r>
      <w:r w:rsidR="00246AF6">
        <w:rPr>
          <w:spacing w:val="-4"/>
        </w:rPr>
        <w:t xml:space="preserve"> Oznacza to, że warunek określony w art. </w:t>
      </w:r>
      <w:r w:rsidR="007A3EAC">
        <w:rPr>
          <w:spacing w:val="-4"/>
        </w:rPr>
        <w:t>18 p. 4q</w:t>
      </w:r>
      <w:r w:rsidR="00246AF6">
        <w:rPr>
          <w:spacing w:val="-4"/>
        </w:rPr>
        <w:t xml:space="preserve"> rozporządzenia</w:t>
      </w:r>
      <w:r w:rsidR="007A3EAC">
        <w:rPr>
          <w:spacing w:val="-4"/>
        </w:rPr>
        <w:t xml:space="preserve"> UE</w:t>
      </w:r>
      <w:r w:rsidR="00223169">
        <w:rPr>
          <w:spacing w:val="-4"/>
        </w:rPr>
        <w:t xml:space="preserve"> ustanawiającego Instrument na rzecz Odbudowy</w:t>
      </w:r>
      <w:r w:rsidR="00223169">
        <w:rPr>
          <w:rStyle w:val="Odwoanieprzypisudolnego"/>
          <w:spacing w:val="-4"/>
        </w:rPr>
        <w:footnoteReference w:id="1"/>
      </w:r>
      <w:r w:rsidR="00246AF6">
        <w:rPr>
          <w:spacing w:val="-4"/>
        </w:rPr>
        <w:t xml:space="preserve"> nie zosta</w:t>
      </w:r>
      <w:r w:rsidR="008B4405">
        <w:rPr>
          <w:spacing w:val="-4"/>
        </w:rPr>
        <w:t>ł</w:t>
      </w:r>
      <w:r w:rsidR="00246AF6">
        <w:rPr>
          <w:spacing w:val="-4"/>
        </w:rPr>
        <w:t xml:space="preserve"> spełniony.</w:t>
      </w:r>
    </w:p>
    <w:p w:rsidR="008B18C8" w:rsidRPr="00537F3D" w:rsidRDefault="008B18C8" w:rsidP="00223169">
      <w:pPr>
        <w:shd w:val="clear" w:color="auto" w:fill="F2F2F2" w:themeFill="background1" w:themeFillShade="F2"/>
        <w:spacing w:after="80" w:line="240" w:lineRule="auto"/>
        <w:ind w:firstLine="284"/>
        <w:jc w:val="both"/>
        <w:rPr>
          <w:b/>
          <w:spacing w:val="-4"/>
        </w:rPr>
      </w:pPr>
      <w:r w:rsidRPr="00537F3D">
        <w:rPr>
          <w:b/>
          <w:spacing w:val="-4"/>
        </w:rPr>
        <w:t>Jakość projektu</w:t>
      </w:r>
    </w:p>
    <w:p w:rsidR="008B18C8" w:rsidRPr="003F52A8" w:rsidRDefault="008B18C8" w:rsidP="00223169">
      <w:pPr>
        <w:spacing w:after="80" w:line="240" w:lineRule="auto"/>
        <w:ind w:firstLine="284"/>
        <w:jc w:val="both"/>
        <w:rPr>
          <w:spacing w:val="-4"/>
        </w:rPr>
      </w:pPr>
      <w:r w:rsidRPr="003F52A8">
        <w:rPr>
          <w:spacing w:val="-4"/>
        </w:rPr>
        <w:t xml:space="preserve">Zgodnie z ogłoszonym przez Przewodniczącego Rady Unii Europejskiej realizacja </w:t>
      </w:r>
      <w:r w:rsidR="00AD5D26" w:rsidRPr="003F52A8">
        <w:rPr>
          <w:spacing w:val="-4"/>
        </w:rPr>
        <w:t>Instrumentu na rzecz Odbudowy i Zwiększania Odporności</w:t>
      </w:r>
      <w:r w:rsidR="00A31A0C" w:rsidRPr="003F52A8">
        <w:rPr>
          <w:spacing w:val="-4"/>
        </w:rPr>
        <w:t xml:space="preserve"> </w:t>
      </w:r>
      <w:r w:rsidR="00223169">
        <w:rPr>
          <w:spacing w:val="-4"/>
        </w:rPr>
        <w:t xml:space="preserve">polega na transformacji prowadzącej do </w:t>
      </w:r>
      <w:r w:rsidR="00A31A0C" w:rsidRPr="003F52A8">
        <w:rPr>
          <w:rFonts w:cstheme="minorHAnsi"/>
          <w:color w:val="3F4A52"/>
          <w:spacing w:val="-5"/>
        </w:rPr>
        <w:t>konwer</w:t>
      </w:r>
      <w:r w:rsidR="00A31A0C" w:rsidRPr="003F52A8">
        <w:rPr>
          <w:rFonts w:cstheme="minorHAnsi"/>
          <w:color w:val="3F4A52"/>
          <w:spacing w:val="-5"/>
        </w:rPr>
        <w:softHyphen/>
        <w:t>gencj</w:t>
      </w:r>
      <w:r w:rsidR="00223169">
        <w:rPr>
          <w:rFonts w:cstheme="minorHAnsi"/>
          <w:color w:val="3F4A52"/>
          <w:spacing w:val="-5"/>
        </w:rPr>
        <w:t>i i</w:t>
      </w:r>
      <w:r w:rsidR="00A31A0C" w:rsidRPr="003F52A8">
        <w:rPr>
          <w:rFonts w:cstheme="minorHAnsi"/>
          <w:color w:val="3F4A52"/>
          <w:spacing w:val="-5"/>
        </w:rPr>
        <w:t xml:space="preserve"> odpornoś</w:t>
      </w:r>
      <w:r w:rsidR="00223169">
        <w:rPr>
          <w:rFonts w:cstheme="minorHAnsi"/>
          <w:color w:val="3F4A52"/>
          <w:spacing w:val="-5"/>
        </w:rPr>
        <w:t>c</w:t>
      </w:r>
      <w:r w:rsidR="00A31A0C" w:rsidRPr="003F52A8">
        <w:rPr>
          <w:rFonts w:cstheme="minorHAnsi"/>
          <w:color w:val="3F4A52"/>
          <w:spacing w:val="-5"/>
        </w:rPr>
        <w:t>i.</w:t>
      </w:r>
      <w:r w:rsidR="00987664" w:rsidRPr="003F52A8">
        <w:rPr>
          <w:rFonts w:cstheme="minorHAnsi"/>
          <w:color w:val="3F4A52"/>
          <w:spacing w:val="-5"/>
        </w:rPr>
        <w:t xml:space="preserve"> </w:t>
      </w:r>
      <w:r w:rsidR="00997373" w:rsidRPr="003F52A8">
        <w:rPr>
          <w:spacing w:val="-4"/>
        </w:rPr>
        <w:t xml:space="preserve">Głównym celem KPO powinna być zatem taka przebudowa objętych Planem dziedzin, by </w:t>
      </w:r>
      <w:r w:rsidR="00A31A0C" w:rsidRPr="003F52A8">
        <w:rPr>
          <w:spacing w:val="-4"/>
        </w:rPr>
        <w:t>uzyska</w:t>
      </w:r>
      <w:r w:rsidR="00997373" w:rsidRPr="003F52A8">
        <w:rPr>
          <w:spacing w:val="-4"/>
        </w:rPr>
        <w:t xml:space="preserve">ły one </w:t>
      </w:r>
      <w:r w:rsidR="003F52A8" w:rsidRPr="003F52A8">
        <w:t xml:space="preserve">zwiększenie odporności, gotowości na wypadek sytuacji kryzysowych, zdolności dostosowawczych i potencjału wzrostu gospodarczego, </w:t>
      </w:r>
      <w:r w:rsidR="00223169">
        <w:t>a także zapewniły z</w:t>
      </w:r>
      <w:r w:rsidR="003F52A8" w:rsidRPr="003F52A8">
        <w:t>łagodzenie społecznych i gospodarczych skut</w:t>
      </w:r>
      <w:r w:rsidR="00223169">
        <w:softHyphen/>
      </w:r>
      <w:r w:rsidR="003F52A8" w:rsidRPr="003F52A8">
        <w:t>ków tego kryzysu oraz realizację gł</w:t>
      </w:r>
      <w:r w:rsidR="003F52A8">
        <w:t>ó</w:t>
      </w:r>
      <w:r w:rsidR="003F52A8" w:rsidRPr="003F52A8">
        <w:t>wnych celów polityk UE</w:t>
      </w:r>
      <w:r w:rsidR="00246AF6" w:rsidRPr="003F52A8">
        <w:rPr>
          <w:spacing w:val="-4"/>
        </w:rPr>
        <w:t xml:space="preserve"> (art.</w:t>
      </w:r>
      <w:r w:rsidR="003F52A8">
        <w:rPr>
          <w:spacing w:val="-4"/>
        </w:rPr>
        <w:t>4</w:t>
      </w:r>
      <w:r w:rsidR="00246AF6" w:rsidRPr="003F52A8">
        <w:rPr>
          <w:spacing w:val="-4"/>
        </w:rPr>
        <w:t xml:space="preserve"> rozporządzenia)</w:t>
      </w:r>
      <w:r w:rsidR="00997373" w:rsidRPr="003F52A8">
        <w:rPr>
          <w:spacing w:val="-4"/>
        </w:rPr>
        <w:t>.</w:t>
      </w:r>
      <w:r w:rsidR="00987664" w:rsidRPr="003F52A8">
        <w:rPr>
          <w:spacing w:val="-4"/>
        </w:rPr>
        <w:t xml:space="preserve"> </w:t>
      </w:r>
    </w:p>
    <w:p w:rsidR="00987664" w:rsidRPr="00987664" w:rsidRDefault="00987664" w:rsidP="00223169">
      <w:pPr>
        <w:spacing w:after="80" w:line="240" w:lineRule="auto"/>
        <w:ind w:firstLine="284"/>
        <w:jc w:val="both"/>
        <w:rPr>
          <w:spacing w:val="-4"/>
        </w:rPr>
      </w:pPr>
      <w:r w:rsidRPr="00987664">
        <w:rPr>
          <w:spacing w:val="-4"/>
        </w:rPr>
        <w:t xml:space="preserve">Założono, że „należy </w:t>
      </w:r>
      <w:r w:rsidRPr="00987664">
        <w:t>dokonać odbudowy i zwiększyć odporność Unii i państw członkowskich poprzez wspieranie działań w obszarach polityki o znaczeniu europejskim, podzielonych na sześć filarów”</w:t>
      </w:r>
      <w:r w:rsidR="003F52A8">
        <w:t xml:space="preserve"> (art. 3 rozporządzenia)</w:t>
      </w:r>
      <w:r w:rsidRPr="00987664">
        <w:t>.</w:t>
      </w:r>
      <w:r>
        <w:t xml:space="preserve"> Nie wiadomo, dlaczego projekt KPO </w:t>
      </w:r>
      <w:r w:rsidRPr="002F5067">
        <w:rPr>
          <w:b/>
        </w:rPr>
        <w:t>pomija filar spójności społecznej i terytorial</w:t>
      </w:r>
      <w:r w:rsidR="002F5067">
        <w:rPr>
          <w:b/>
        </w:rPr>
        <w:softHyphen/>
      </w:r>
      <w:r w:rsidRPr="002F5067">
        <w:rPr>
          <w:b/>
        </w:rPr>
        <w:t>nej</w:t>
      </w:r>
      <w:r w:rsidR="007A3EAC">
        <w:t>, a także nie wyjaśnia, jak ten filar zostanie zrealizowany (art. 18 p.4 rozp</w:t>
      </w:r>
      <w:r w:rsidR="00223169">
        <w:t>orządzenia</w:t>
      </w:r>
      <w:r w:rsidR="007A3EAC">
        <w:t>).</w:t>
      </w:r>
    </w:p>
    <w:p w:rsidR="00997373" w:rsidRPr="003F52A8" w:rsidRDefault="00997373" w:rsidP="00223169">
      <w:pPr>
        <w:spacing w:after="80" w:line="240" w:lineRule="auto"/>
        <w:ind w:firstLine="284"/>
        <w:jc w:val="both"/>
        <w:rPr>
          <w:spacing w:val="-4"/>
        </w:rPr>
      </w:pPr>
      <w:r>
        <w:rPr>
          <w:spacing w:val="-4"/>
        </w:rPr>
        <w:t xml:space="preserve">Zawartość projektu KPO nie pozwala na stwierdzenie, czy te </w:t>
      </w:r>
      <w:r w:rsidR="009B1380">
        <w:rPr>
          <w:spacing w:val="-4"/>
        </w:rPr>
        <w:t>zakreślone w rozporządzeniu</w:t>
      </w:r>
      <w:r>
        <w:rPr>
          <w:spacing w:val="-4"/>
        </w:rPr>
        <w:t xml:space="preserve"> mają szansę być spełnione, ponieważ nie </w:t>
      </w:r>
      <w:r w:rsidR="009B1380">
        <w:rPr>
          <w:spacing w:val="-4"/>
        </w:rPr>
        <w:t>odpowiadają kryteriom adekwatności, efektywności i spójności</w:t>
      </w:r>
      <w:r>
        <w:rPr>
          <w:spacing w:val="-4"/>
        </w:rPr>
        <w:t xml:space="preserve"> (</w:t>
      </w:r>
      <w:r w:rsidR="00246AF6">
        <w:rPr>
          <w:spacing w:val="-4"/>
        </w:rPr>
        <w:t xml:space="preserve">art. </w:t>
      </w:r>
      <w:r w:rsidR="009B1380">
        <w:rPr>
          <w:spacing w:val="-4"/>
        </w:rPr>
        <w:t>19</w:t>
      </w:r>
      <w:r w:rsidR="00246AF6">
        <w:rPr>
          <w:spacing w:val="-4"/>
        </w:rPr>
        <w:t xml:space="preserve"> </w:t>
      </w:r>
      <w:proofErr w:type="spellStart"/>
      <w:r>
        <w:rPr>
          <w:spacing w:val="-4"/>
        </w:rPr>
        <w:t>rozp</w:t>
      </w:r>
      <w:proofErr w:type="spellEnd"/>
      <w:r>
        <w:rPr>
          <w:spacing w:val="-4"/>
        </w:rPr>
        <w:t>. UE). P</w:t>
      </w:r>
      <w:r w:rsidR="003F52A8">
        <w:rPr>
          <w:spacing w:val="-4"/>
        </w:rPr>
        <w:t xml:space="preserve">roponowane działania </w:t>
      </w:r>
      <w:r w:rsidR="003F52A8" w:rsidRPr="002F5067">
        <w:rPr>
          <w:b/>
          <w:spacing w:val="-4"/>
        </w:rPr>
        <w:t>nie tworzą</w:t>
      </w:r>
      <w:r w:rsidR="003F52A8" w:rsidRPr="002F5067">
        <w:rPr>
          <w:b/>
          <w:szCs w:val="19"/>
        </w:rPr>
        <w:t xml:space="preserve"> kompleksowego i spójnego pakietu</w:t>
      </w:r>
      <w:r w:rsidR="007A3EAC">
        <w:rPr>
          <w:szCs w:val="19"/>
        </w:rPr>
        <w:t xml:space="preserve"> (art. 17 p.1 rozp</w:t>
      </w:r>
      <w:r w:rsidR="00223169">
        <w:rPr>
          <w:szCs w:val="19"/>
        </w:rPr>
        <w:t>orządzenia</w:t>
      </w:r>
      <w:r w:rsidR="007A3EAC">
        <w:rPr>
          <w:szCs w:val="19"/>
        </w:rPr>
        <w:t>)</w:t>
      </w:r>
      <w:r w:rsidR="003F52A8" w:rsidRPr="003F52A8">
        <w:rPr>
          <w:szCs w:val="19"/>
        </w:rPr>
        <w:t xml:space="preserve"> – p</w:t>
      </w:r>
      <w:r w:rsidRPr="003F52A8">
        <w:rPr>
          <w:spacing w:val="-4"/>
        </w:rPr>
        <w:t>rzeciwnie</w:t>
      </w:r>
      <w:r w:rsidR="003F52A8" w:rsidRPr="003F52A8">
        <w:rPr>
          <w:spacing w:val="-4"/>
        </w:rPr>
        <w:t>:</w:t>
      </w:r>
      <w:r w:rsidRPr="003F52A8">
        <w:rPr>
          <w:spacing w:val="-4"/>
        </w:rPr>
        <w:t xml:space="preserve"> stwarzają one wrażenie niezintegrowanego połączenia pięciu wydzielonych obszarów, które nie mają wspólnego mianow</w:t>
      </w:r>
      <w:r w:rsidR="00246AF6" w:rsidRPr="003F52A8">
        <w:rPr>
          <w:spacing w:val="-4"/>
        </w:rPr>
        <w:softHyphen/>
      </w:r>
      <w:r w:rsidRPr="003F52A8">
        <w:rPr>
          <w:spacing w:val="-4"/>
        </w:rPr>
        <w:t>nika.</w:t>
      </w:r>
      <w:r w:rsidR="00B6712E" w:rsidRPr="003F52A8">
        <w:rPr>
          <w:spacing w:val="-4"/>
        </w:rPr>
        <w:t xml:space="preserve"> </w:t>
      </w:r>
      <w:r w:rsidR="00B6712E" w:rsidRPr="002F5067">
        <w:rPr>
          <w:b/>
          <w:spacing w:val="-4"/>
        </w:rPr>
        <w:t>Nie są również zintegrowane z ogóln</w:t>
      </w:r>
      <w:r w:rsidR="007A3EAC" w:rsidRPr="002F5067">
        <w:rPr>
          <w:b/>
          <w:spacing w:val="-4"/>
        </w:rPr>
        <w:t>ą</w:t>
      </w:r>
      <w:r w:rsidR="00B6712E" w:rsidRPr="002F5067">
        <w:rPr>
          <w:b/>
          <w:spacing w:val="-4"/>
        </w:rPr>
        <w:t xml:space="preserve"> polityką rozwoju</w:t>
      </w:r>
      <w:r w:rsidR="00B6712E" w:rsidRPr="003F52A8">
        <w:rPr>
          <w:spacing w:val="-4"/>
        </w:rPr>
        <w:t xml:space="preserve"> (art. </w:t>
      </w:r>
      <w:r w:rsidR="007A3EAC">
        <w:rPr>
          <w:spacing w:val="-4"/>
        </w:rPr>
        <w:t>17 p.3</w:t>
      </w:r>
      <w:r w:rsidR="00B6712E" w:rsidRPr="003F52A8">
        <w:rPr>
          <w:spacing w:val="-4"/>
        </w:rPr>
        <w:t xml:space="preserve">). </w:t>
      </w:r>
    </w:p>
    <w:p w:rsidR="00246AF6" w:rsidRDefault="00246AF6" w:rsidP="00223169">
      <w:pPr>
        <w:spacing w:after="80" w:line="240" w:lineRule="auto"/>
        <w:ind w:firstLine="284"/>
        <w:jc w:val="both"/>
        <w:rPr>
          <w:spacing w:val="-4"/>
        </w:rPr>
      </w:pPr>
      <w:r>
        <w:rPr>
          <w:spacing w:val="-4"/>
        </w:rPr>
        <w:t>W szczególności nie mogą to być oderwane od realnych potrzeb zmiany organizacyjne,</w:t>
      </w:r>
      <w:r w:rsidR="00AE15D0">
        <w:rPr>
          <w:spacing w:val="-4"/>
        </w:rPr>
        <w:t xml:space="preserve"> których celem jest sprzeczna z zasadą subsydiarności centralizacja zarządzania, po</w:t>
      </w:r>
      <w:r w:rsidR="00947DBF">
        <w:rPr>
          <w:spacing w:val="-4"/>
        </w:rPr>
        <w:t>wodująca</w:t>
      </w:r>
      <w:r w:rsidR="00AE15D0">
        <w:rPr>
          <w:spacing w:val="-4"/>
        </w:rPr>
        <w:t xml:space="preserve"> zmniejszenie wpływu obywa</w:t>
      </w:r>
      <w:r w:rsidR="00947DBF">
        <w:rPr>
          <w:spacing w:val="-4"/>
        </w:rPr>
        <w:softHyphen/>
      </w:r>
      <w:r w:rsidR="00AE15D0">
        <w:rPr>
          <w:spacing w:val="-4"/>
        </w:rPr>
        <w:t xml:space="preserve">teli i społeczności lokalnych i regionalnych na daną sferę </w:t>
      </w:r>
      <w:r w:rsidR="001F38BF">
        <w:rPr>
          <w:spacing w:val="-4"/>
        </w:rPr>
        <w:t>usług</w:t>
      </w:r>
      <w:r w:rsidR="00AE15D0">
        <w:rPr>
          <w:spacing w:val="-4"/>
        </w:rPr>
        <w:t xml:space="preserve"> publicznych. Dotyczy to zwłaszcza tzw. </w:t>
      </w:r>
      <w:r w:rsidR="00AE15D0" w:rsidRPr="00E46E1B">
        <w:rPr>
          <w:spacing w:val="-5"/>
        </w:rPr>
        <w:t>„reformy” ochrony zdrowia</w:t>
      </w:r>
      <w:r w:rsidR="004314F4" w:rsidRPr="00E46E1B">
        <w:rPr>
          <w:spacing w:val="-5"/>
        </w:rPr>
        <w:t>, którą zapowiada r</w:t>
      </w:r>
      <w:r w:rsidR="00E46E1B" w:rsidRPr="00E46E1B">
        <w:rPr>
          <w:spacing w:val="-5"/>
        </w:rPr>
        <w:t>esort zdrowia</w:t>
      </w:r>
      <w:r w:rsidR="004314F4" w:rsidRPr="00E46E1B">
        <w:rPr>
          <w:spacing w:val="-5"/>
        </w:rPr>
        <w:t xml:space="preserve"> wbrew powszechnemu sprzeciwowi</w:t>
      </w:r>
      <w:r w:rsidR="004314F4">
        <w:rPr>
          <w:spacing w:val="-4"/>
        </w:rPr>
        <w:t xml:space="preserve"> wszystkich zaintere</w:t>
      </w:r>
      <w:r w:rsidR="004314F4">
        <w:rPr>
          <w:spacing w:val="-4"/>
        </w:rPr>
        <w:softHyphen/>
        <w:t>so</w:t>
      </w:r>
      <w:r w:rsidR="004314F4">
        <w:rPr>
          <w:spacing w:val="-4"/>
        </w:rPr>
        <w:softHyphen/>
        <w:t>wanych środowisk społecznych i zawodowych oraz gmin, powiatów i województw.</w:t>
      </w:r>
    </w:p>
    <w:p w:rsidR="003A6DFE" w:rsidRPr="00537F3D" w:rsidRDefault="00997373" w:rsidP="00223169">
      <w:pPr>
        <w:shd w:val="clear" w:color="auto" w:fill="F2F2F2" w:themeFill="background1" w:themeFillShade="F2"/>
        <w:spacing w:after="80" w:line="240" w:lineRule="auto"/>
        <w:ind w:firstLine="284"/>
        <w:jc w:val="both"/>
        <w:rPr>
          <w:b/>
          <w:spacing w:val="-4"/>
        </w:rPr>
      </w:pPr>
      <w:r w:rsidRPr="00537F3D">
        <w:rPr>
          <w:b/>
          <w:spacing w:val="-4"/>
        </w:rPr>
        <w:t>Warunki, jakie musi spełnić Krajowy Plan Odbudowy</w:t>
      </w:r>
    </w:p>
    <w:p w:rsidR="00B6712E" w:rsidRPr="002F5067" w:rsidRDefault="00B6712E" w:rsidP="00223169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Zgodnie z porozumieniem Parlamentu z Radą UE z 5 listopada 2020 r. sposób realizacji KPO musi zapew</w:t>
      </w:r>
      <w:r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 xml:space="preserve">niać </w:t>
      </w:r>
      <w:r w:rsidR="009B1380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przestrzeganie praworządności rozumianej jako zgodność </w:t>
      </w:r>
      <w:r w:rsidR="00246AF6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z zasadami jawności, przejrzystości i równej dostępności beneficjentów do</w:t>
      </w:r>
      <w:r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fundusz</w:t>
      </w:r>
      <w:r w:rsidR="009B1380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y unijnych</w:t>
      </w:r>
      <w:r w:rsidR="009B1380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by nie powtórzyły się złe doświadczenia z </w:t>
      </w:r>
      <w:r w:rsidR="008B4405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2020 roku</w:t>
      </w:r>
      <w:r w:rsidR="00537F3D" w:rsidRPr="002F5067">
        <w:rPr>
          <w:rStyle w:val="Odwoanieprzypisudolnego"/>
          <w:rFonts w:asciiTheme="minorHAnsi" w:hAnsiTheme="minorHAnsi" w:cstheme="minorHAnsi"/>
          <w:color w:val="000000" w:themeColor="text1"/>
          <w:spacing w:val="-5"/>
          <w:sz w:val="22"/>
          <w:szCs w:val="22"/>
        </w:rPr>
        <w:footnoteReference w:id="2"/>
      </w:r>
      <w:r w:rsidR="009B1380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:rsidR="00B6712E" w:rsidRDefault="00AE15D0" w:rsidP="00223169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Najlepszym rozwiązaniem byłoby powierzenie zarządzania tymi funduszami, które mają mieć charakter centralny</w:t>
      </w:r>
      <w:r w:rsidRPr="004314F4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2"/>
          <w:szCs w:val="22"/>
        </w:rPr>
        <w:footnoteReference w:id="3"/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</w:t>
      </w:r>
      <w:r w:rsidRPr="002F506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przez </w:t>
      </w:r>
      <w:r w:rsidRPr="002F5067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niezależną agencję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 w której będzie zapewniony udział przedstawicieli społeczności lokal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>nych i regionalnych, przedsiębiorców oraz organizacji pozarządowych. Stosowny projekt ustawy przed</w:t>
      </w:r>
      <w:r w:rsid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łoży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ł Senat RP. </w:t>
      </w:r>
      <w:r w:rsidR="008B44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wypadku przedłużenia się prac nad powołaniem agencji Komisja powinna nałożyć na Polskę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obowiązek utworzenia odpowiednio umocowanych komitetów 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sterujących i </w:t>
      </w:r>
      <w:r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monitorujących</w:t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, z zagwa</w:t>
      </w:r>
      <w:r w:rsid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ran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towanym udziałem przedstawicieli 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samorządów i pozostałych</w:t>
      </w:r>
      <w:r w:rsidR="00E46E1B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, wyżej </w:t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wymienionych środowisk</w:t>
      </w:r>
      <w:r w:rsidR="004314F4"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</w:t>
      </w:r>
    </w:p>
    <w:p w:rsidR="004314F4" w:rsidRDefault="004314F4" w:rsidP="00E46E1B">
      <w:pPr>
        <w:pStyle w:val="ep-wysiwigparagraph"/>
        <w:shd w:val="clear" w:color="auto" w:fill="FFFFFF"/>
        <w:spacing w:before="0" w:beforeAutospacing="0" w:after="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Drugim warunkiem, który musi być spełniony, jest </w:t>
      </w:r>
      <w:r w:rsidRPr="002F5067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uzupełnienie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projektu o:</w:t>
      </w:r>
    </w:p>
    <w:p w:rsidR="004314F4" w:rsidRDefault="004314F4" w:rsidP="00E46E1B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brakując</w:t>
      </w:r>
      <w:r w:rsidR="003A6DF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ą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część, obejmującą 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plan wykorzystania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środk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ów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pożyczkow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ych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</w:t>
      </w:r>
    </w:p>
    <w:p w:rsidR="0045381F" w:rsidRDefault="0045381F" w:rsidP="009C7EAA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wykazanie spójności</w:t>
      </w:r>
      <w:r w:rsidR="004314F4" w:rsidRP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KPO z pozostałymi elementami polityki rozwoju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(art. 18 ust. 4n)</w:t>
      </w:r>
      <w:r w:rsidR="00E46E1B" w:rsidRP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</w:t>
      </w:r>
    </w:p>
    <w:p w:rsidR="004314F4" w:rsidRPr="0045381F" w:rsidRDefault="00B77927" w:rsidP="009C7EAA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1003" w:hanging="357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uzasadnienie zawierające wyjaśnienie, w jaki sposób</w:t>
      </w:r>
      <w:r w:rsidR="004314F4"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realizacj</w:t>
      </w:r>
      <w:r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a</w:t>
      </w:r>
      <w:r w:rsidR="004314F4"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>plan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>u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odbudowy i zwiększania odporności, przy uwzględnieniu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ujętych w nim działań, stanowi kompleksową i odpowiednio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lastRenderedPageBreak/>
        <w:t>wyważoną reakcję na sytuację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gospodarczą i społeczną państwa członkowskiego i w jaki sposób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przyczynia się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odpowiednio do realizacji wszystkich filarów, o których mowa w art. 3, z uwzględ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softHyphen/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nieniem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całości polityki rozwoju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państwa 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członkow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softHyphen/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skiego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(zgodnie z art. 1</w:t>
      </w:r>
      <w:r w:rsidR="0045381F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8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p. </w:t>
      </w:r>
      <w:r w:rsidR="0045381F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4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rozporządzenia)</w:t>
      </w:r>
      <w:r w:rsidR="003A6DFE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:rsidR="009E2103" w:rsidRDefault="009E2103" w:rsidP="009E2103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Podczas konsultacji wiceminister funduszy i polityki regionalnej zapowiedział przygotowanie </w:t>
      </w:r>
      <w:r w:rsidRPr="00B7792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ustawy wdrażającej</w:t>
      </w: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Krajowy Plan Odbudowy. Projekt tej ustawy </w:t>
      </w:r>
      <w:r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powinien być poddany konsultacjom równocześnie z KPO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co – stanowiąc spełnienie wymogu art. </w:t>
      </w:r>
      <w:r w:rsidR="009C7EA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18 ust. 4 lit. q oraz r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rozporządzenia – zapewni wszystkim podmiotom i benefi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>cjentom polityki rozwoju niezbędną do sformułowania opinii o KPO informację o zasa</w:t>
      </w:r>
      <w:r w:rsidR="009C7EA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dach realizacji planu, 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 tym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zapewnienia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udział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wszystkich podmiotów w nim uczestniczących.</w:t>
      </w:r>
    </w:p>
    <w:p w:rsidR="003A6DFE" w:rsidRPr="00F77A3A" w:rsidRDefault="000945BD" w:rsidP="00022688">
      <w:pPr>
        <w:pStyle w:val="ep-wysiwigparagraph"/>
        <w:shd w:val="clear" w:color="auto" w:fill="F2F2F2" w:themeFill="background1" w:themeFillShade="F2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U</w:t>
      </w:r>
      <w:r w:rsidR="00CA24B0" w:rsidRPr="00F77A3A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wagi s</w:t>
      </w:r>
      <w:r w:rsidR="003A6DFE" w:rsidRPr="00F77A3A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zczegółowe do przedstawionego projektu KPO</w:t>
      </w:r>
    </w:p>
    <w:p w:rsidR="003A6DFE" w:rsidRDefault="004A307F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 zebranych przez resort finansów sprawozdań z wykonania budżetów JST w ostatnich latach wynika, że w najtrudniejszej obecnie sytuacji znalazły się miasta – </w:t>
      </w:r>
      <w:r w:rsidRPr="00E46E1B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 równym stopniu miasta na prawach powiatu oraz gminy miejskie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 Jest to spowodowane przez nałożenie się skutków pandemii COVID-19 na wynikające ze zmian prawnych zmniejszenie tych dochodów własnych gmin, na których oparte są budżety miast.</w:t>
      </w:r>
      <w:r w:rsidR="00024A2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W</w:t>
      </w:r>
      <w:r w:rsid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 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efek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>cie nadwyżka budżetowa miast gwałtownie spadła, rujnując ich potencjał rozwojowy, co jest równoznaczne z największym obniżeniem odporności. Obrazuj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ą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to poniższ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tabel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i wykres: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80"/>
        <w:gridCol w:w="1640"/>
        <w:gridCol w:w="1660"/>
      </w:tblGrid>
      <w:tr w:rsidR="00DE5A21" w:rsidRPr="00DE5A21" w:rsidTr="0045381F">
        <w:trPr>
          <w:trHeight w:val="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gmin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Nadwyżka operacyjna [PLN]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miasta na prawach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7 162 087 196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6 343 374 645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3 933 587 854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gminy miejskie (bez </w:t>
            </w:r>
            <w:proofErr w:type="spellStart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mnpp</w:t>
            </w:r>
            <w:proofErr w:type="spellEnd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1 955 376 061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1 840 975 701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1 478 129 344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miejsko-wiejskie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3 555 831 667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3 799 796 208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3 903 280 408</w:t>
            </w:r>
          </w:p>
        </w:tc>
      </w:tr>
      <w:tr w:rsidR="00DE5A21" w:rsidRPr="00DE5A21" w:rsidTr="0045381F">
        <w:trPr>
          <w:trHeight w:val="17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5 303 480 796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5 736 103 046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6 171 883 126</w:t>
            </w:r>
          </w:p>
        </w:tc>
      </w:tr>
    </w:tbl>
    <w:p w:rsidR="00D77005" w:rsidRPr="00DE5A21" w:rsidRDefault="00D77005" w:rsidP="00DE5A21">
      <w:pPr>
        <w:pStyle w:val="ep-wysiwigparagraph"/>
        <w:shd w:val="clear" w:color="auto" w:fill="FFFFFF"/>
        <w:spacing w:before="0" w:beforeAutospacing="0" w:after="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16"/>
          <w:szCs w:val="16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80"/>
        <w:gridCol w:w="1640"/>
        <w:gridCol w:w="1660"/>
      </w:tblGrid>
      <w:tr w:rsidR="00DE5A21" w:rsidRPr="00DE5A21" w:rsidTr="0045381F">
        <w:trPr>
          <w:trHeight w:val="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gmin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Nadwyżka operacyjna na 1 mieszk. [PLN/os.]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miasta na prawach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504,36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313,19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gminy miejskie (bez </w:t>
            </w:r>
            <w:proofErr w:type="spellStart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mnpp</w:t>
            </w:r>
            <w:proofErr w:type="spellEnd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329,94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311,98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251,56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miejsko-wiejskie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420,79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431,56</w:t>
            </w:r>
          </w:p>
        </w:tc>
      </w:tr>
      <w:tr w:rsidR="00DE5A21" w:rsidRPr="00DE5A21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485,96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567,58</w:t>
            </w:r>
          </w:p>
        </w:tc>
      </w:tr>
    </w:tbl>
    <w:p w:rsidR="00DE5A21" w:rsidRPr="00537F3D" w:rsidRDefault="00DE5A21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16"/>
          <w:szCs w:val="16"/>
        </w:rPr>
      </w:pPr>
    </w:p>
    <w:p w:rsidR="00DE5A21" w:rsidRDefault="00537F3D" w:rsidP="00537F3D">
      <w:pPr>
        <w:pStyle w:val="ep-wysiwigparagraph"/>
        <w:shd w:val="clear" w:color="auto" w:fill="FFFFFF"/>
        <w:spacing w:before="0" w:beforeAutospacing="0" w:after="120" w:afterAutospacing="0"/>
        <w:jc w:val="center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noProof/>
        </w:rPr>
        <w:drawing>
          <wp:inline distT="0" distB="0" distL="0" distR="0" wp14:anchorId="3AC8A922" wp14:editId="7FBF6E7C">
            <wp:extent cx="4794885" cy="2540000"/>
            <wp:effectExtent l="0" t="0" r="5715" b="1270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005" w:rsidRDefault="00D77005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 danych tych wynika, że planowane w KPO działania, 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jeśli </w:t>
      </w:r>
      <w:r w:rsidR="00952B0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mają być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zgodne z pominiętym w projekcie filarem spójności terytorialno-społecznej, </w:t>
      </w:r>
      <w:r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powin</w:t>
      </w:r>
      <w:r w:rsidR="00537F3D"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ny</w:t>
      </w:r>
      <w:r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dotyczyć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D77005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wszystkich miast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a nie tylko tych, które kilka lat temu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przed obecnym kryzysem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zostały zaliczone do „tracących funkcje społeczno-gospodarcze”.</w:t>
      </w:r>
    </w:p>
    <w:p w:rsidR="00C92187" w:rsidRPr="00E46E1B" w:rsidRDefault="00D77005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Pozytywnie opiniujemy</w:t>
      </w:r>
      <w:r w:rsidR="00537F3D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zaproponowan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y</w:t>
      </w:r>
      <w:r w:rsidR="00537F3D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w 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komponen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cie B działanie B3.1.3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„Zielona transformacja miast i [</w:t>
      </w:r>
      <w:r w:rsidR="00C92187" w:rsidRPr="0034726C">
        <w:rPr>
          <w:rFonts w:asciiTheme="minorHAnsi" w:hAnsiTheme="minorHAnsi" w:cstheme="minorHAnsi"/>
          <w:b/>
          <w:i/>
          <w:color w:val="000000" w:themeColor="text1"/>
          <w:spacing w:val="-4"/>
          <w:sz w:val="22"/>
          <w:szCs w:val="22"/>
        </w:rPr>
        <w:t>miejskich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] obszarów funkcjonalnych”. Uważamy jednak, </w:t>
      </w:r>
      <w:r w:rsidR="00C92187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że </w:t>
      </w:r>
      <w:r w:rsidR="00E32700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zakres i zaplanowana na te dzia</w:t>
      </w:r>
      <w:r w:rsidR="00E32700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  <w:t>łania alokacja są niewystarczające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 Powinny one objąć kompleksowo rozumianą gospodarkę ener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 xml:space="preserve">getyczną, stanowiącą element zintegrowanej gospodarki komunalnej, która w </w:t>
      </w:r>
      <w:r w:rsidR="0034726C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całości determinuje 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stan środowiska naturalnego w miastach. 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Niewłaściwe jest </w:t>
      </w:r>
      <w:r w:rsidR="00C92187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adresowan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ie tych działań tylko</w:t>
      </w:r>
      <w:r w:rsidR="00C92187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 do małych </w:t>
      </w:r>
      <w:r w:rsidR="00C92187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u w:val="single"/>
        </w:rPr>
        <w:t>i średnich miast</w:t>
      </w:r>
      <w:r w:rsidR="00E91AB4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, na podstawie </w:t>
      </w:r>
      <w:r w:rsidR="00E46E1B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nieaktualnych </w:t>
      </w:r>
      <w:r w:rsidR="00E91AB4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wskaźników sprzed kryzysu spowodowanego pandemią.</w:t>
      </w:r>
    </w:p>
    <w:p w:rsidR="0034726C" w:rsidRDefault="0034726C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lastRenderedPageBreak/>
        <w:t xml:space="preserve">Działania zaproponowane w komponencie A oddzielnie w punktach A1.1.4 i A1.1.5 powinny zostać </w:t>
      </w:r>
      <w:r w:rsidRPr="000945BD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połączone i </w:t>
      </w:r>
      <w:r w:rsidR="002F5067" w:rsidRPr="000945BD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rozszerzone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. Skuteczne </w:t>
      </w:r>
      <w:r w:rsidRPr="00E91AB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przygotowanie </w:t>
      </w:r>
      <w:r w:rsidRPr="00E91AB4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terenów inwestycyjnych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wymaga, by planowa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na 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reforma systemu planowania i zagospodaro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wa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nia przest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rzennego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była ściśle powiązana ze zmia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nami w systemie 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gospodarowania nieruchomoś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ciami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stanowiącymi zasób publiczny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i w </w:t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o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podatk</w:t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o</w:t>
      </w:r>
      <w:r w:rsidR="00E91AB4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wani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u nieruchomości gruntowych</w:t>
      </w:r>
      <w:r w:rsidR="00E46E1B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 zgodnie z ich przeznaczeniem</w:t>
      </w:r>
      <w:r w:rsid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, co zahamuje obecną spekulację gruntami i lekkomyślne, nieskoordynowane zabudowywanie terenów</w:t>
      </w:r>
      <w:r w:rsid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zielonych.</w:t>
      </w:r>
    </w:p>
    <w:p w:rsidR="00CA24B0" w:rsidRDefault="00E91AB4" w:rsidP="00CA24B0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Transformacja cyfrowa edukacji wymaga nie tylko wzmocnienia infrastruktury informatycznej szkół we wszystkich kategoriach gmin (C2.1.2), ale także wprowadzenia na stałe edukacji hybrydowej, z wykorzys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 xml:space="preserve">taniem wszystkich, bardzo już bogatych zasobów cyfrowych z różnych dziedzin, całkowicie dziś </w:t>
      </w: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nieobecnych w programach nauczania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:rsidR="00E91AB4" w:rsidRPr="00CA24B0" w:rsidRDefault="00E91AB4" w:rsidP="00022688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641" w:hanging="357"/>
        <w:jc w:val="both"/>
        <w:textAlignment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Nieporozumieniem jest pominięcie w komponencie 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dotyczącym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mobilności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, w działaniu E1.1.2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transportu szynowego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w miejskich obszarach funkcjonalnych. Skoro sektor transportu drogowego stanowi drugie, największe źródło emisji zanieczyszczeń do powietrza i dotyczy przede wszyst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softHyphen/>
        <w:t>kim dużych skupisk ludności niezrozumiałe jest ograniczanie wsparcia tylko do małych i średnich miast. Wykazaliśmy powyżej, iż także duże miasta silnie odczuwają skutki kryzysu. Ponadto, zgodnie z przy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gotowywaną nowelizacją ustawy o </w:t>
      </w:r>
      <w:proofErr w:type="spellStart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elektromobilności</w:t>
      </w:r>
      <w:proofErr w:type="spellEnd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duże miasta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będą zobowiązane do utwo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rzenia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strefy czystego transportu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w sytuacji przekroczenia dopuszczalnych norm stężenia tlenków azotu (</w:t>
      </w:r>
      <w:proofErr w:type="spellStart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NOx</w:t>
      </w:r>
      <w:proofErr w:type="spellEnd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). Na uwagę zasługuje również fakt, iż w ramach KPO będzie można sfinansować inwes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tycje związane z rozwojem Inteligentnych Systemów Transportu (ITS). Jednakże wsparcie na ITS ograniczone zostało wyłącznie do dróg krajowych, co jest działaniem niezasadnym i powinno zostać rozszerzone również na drogi wojewódzkie i powiatowe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t>, zwłaszcza w miastach.</w:t>
      </w:r>
    </w:p>
    <w:p w:rsidR="002F5067" w:rsidRDefault="002F5067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KPO powinien w większym stopniu wspierać </w:t>
      </w:r>
      <w:r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rewitalizację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starej, zdekapitalizowanej zabudowy </w:t>
      </w:r>
      <w:r w:rsidRPr="00C639D9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śród</w:t>
      </w:r>
      <w:r w:rsidRPr="00C639D9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softHyphen/>
        <w:t xml:space="preserve">miejskiej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(jedna piąta wszystkich zasobów mieszkaniowych). Postulujemy umieszczenie tych działań w brakującej, kredytowo-po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ż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yczkowej części planu.</w:t>
      </w:r>
    </w:p>
    <w:p w:rsidR="00022688" w:rsidRPr="00022688" w:rsidRDefault="00022688" w:rsidP="00022688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  <w:rPr>
          <w:spacing w:val="-4"/>
        </w:rPr>
      </w:pPr>
      <w:r w:rsidRPr="00022688">
        <w:rPr>
          <w:spacing w:val="-4"/>
        </w:rPr>
        <w:t xml:space="preserve">KPO powinien wspierać odbudowę po pandemii </w:t>
      </w:r>
      <w:r w:rsidRPr="00022688">
        <w:rPr>
          <w:b/>
          <w:spacing w:val="-4"/>
        </w:rPr>
        <w:t>miast uzdrowiskowych</w:t>
      </w:r>
      <w:r w:rsidRPr="00022688">
        <w:rPr>
          <w:b/>
          <w:spacing w:val="-4"/>
        </w:rPr>
        <w:t xml:space="preserve"> i turystycznych</w:t>
      </w:r>
      <w:r w:rsidRPr="00022688">
        <w:rPr>
          <w:spacing w:val="-4"/>
        </w:rPr>
        <w:t>, które ucier</w:t>
      </w:r>
      <w:r>
        <w:rPr>
          <w:spacing w:val="-4"/>
        </w:rPr>
        <w:softHyphen/>
      </w:r>
      <w:r w:rsidRPr="00022688">
        <w:rPr>
          <w:spacing w:val="-4"/>
        </w:rPr>
        <w:t xml:space="preserve">piały najbardziej z powodu </w:t>
      </w:r>
      <w:r w:rsidRPr="00022688">
        <w:rPr>
          <w:spacing w:val="-4"/>
          <w:u w:val="single"/>
        </w:rPr>
        <w:t>zamknięcia całej sfery gospodarczej</w:t>
      </w:r>
      <w:r w:rsidRPr="00022688">
        <w:rPr>
          <w:spacing w:val="-4"/>
        </w:rPr>
        <w:t xml:space="preserve">. </w:t>
      </w:r>
      <w:r w:rsidRPr="00022688">
        <w:rPr>
          <w:bCs/>
          <w:spacing w:val="-4"/>
        </w:rPr>
        <w:t>Brak wsparcia dla gmin uzdro</w:t>
      </w:r>
      <w:r>
        <w:rPr>
          <w:bCs/>
          <w:spacing w:val="-4"/>
        </w:rPr>
        <w:softHyphen/>
      </w:r>
      <w:r w:rsidRPr="00022688">
        <w:rPr>
          <w:bCs/>
          <w:spacing w:val="-4"/>
        </w:rPr>
        <w:t xml:space="preserve">wiskowych </w:t>
      </w:r>
      <w:r>
        <w:rPr>
          <w:bCs/>
          <w:spacing w:val="-4"/>
        </w:rPr>
        <w:t xml:space="preserve">i turystycznych </w:t>
      </w:r>
      <w:r w:rsidRPr="00022688">
        <w:rPr>
          <w:bCs/>
          <w:spacing w:val="-4"/>
        </w:rPr>
        <w:t>w Krajowym Planie Odbudowy i Zwiększenia Odporności jeszcze bardziej pogorszy i tak już bardzo złą sytuację tych miast i doprowadzi do regresu poziomu życia społeczno-gospodarczego w tych gminach oraz  </w:t>
      </w:r>
      <w:r>
        <w:rPr>
          <w:bCs/>
          <w:spacing w:val="-4"/>
        </w:rPr>
        <w:t>silnego</w:t>
      </w:r>
      <w:r w:rsidRPr="00022688">
        <w:rPr>
          <w:bCs/>
          <w:spacing w:val="-4"/>
        </w:rPr>
        <w:t xml:space="preserve"> zubożenia lokalnych społeczności.</w:t>
      </w:r>
    </w:p>
    <w:p w:rsidR="00022688" w:rsidRPr="00022688" w:rsidRDefault="00022688" w:rsidP="00022688">
      <w:pPr>
        <w:shd w:val="clear" w:color="auto" w:fill="F2F2F2" w:themeFill="background1" w:themeFillShade="F2"/>
        <w:spacing w:after="120" w:line="240" w:lineRule="auto"/>
        <w:ind w:firstLine="284"/>
        <w:jc w:val="both"/>
        <w:rPr>
          <w:b/>
          <w:spacing w:val="-4"/>
        </w:rPr>
      </w:pPr>
      <w:r w:rsidRPr="00022688">
        <w:rPr>
          <w:b/>
          <w:spacing w:val="-4"/>
        </w:rPr>
        <w:t>Uwaga końcowa</w:t>
      </w:r>
    </w:p>
    <w:p w:rsidR="00022688" w:rsidRPr="00022688" w:rsidRDefault="00022688" w:rsidP="00022688">
      <w:pPr>
        <w:spacing w:after="120" w:line="240" w:lineRule="auto"/>
        <w:ind w:firstLine="284"/>
        <w:jc w:val="both"/>
        <w:rPr>
          <w:spacing w:val="-5"/>
        </w:rPr>
      </w:pPr>
      <w:r w:rsidRPr="00022688">
        <w:rPr>
          <w:spacing w:val="-5"/>
        </w:rPr>
        <w:t>Z zadowoleniem odbieramy pismo wiceministra funduszy i polityki regionalnej, otrzymane 11 kwietnia br., w którym zawarta jest zapowiedź uwzględnienia części naszych postulatów. Oczekujemy przedstawienia nowej wersji projektu KPO</w:t>
      </w:r>
      <w:r>
        <w:rPr>
          <w:spacing w:val="-5"/>
        </w:rPr>
        <w:t>, co umożliwi nam modyfikację niniejszego stanowiska.</w:t>
      </w:r>
      <w:bookmarkStart w:id="0" w:name="_GoBack"/>
      <w:bookmarkEnd w:id="0"/>
    </w:p>
    <w:p w:rsidR="00CA24B0" w:rsidRPr="0034726C" w:rsidRDefault="00CA24B0" w:rsidP="00CA24B0">
      <w:pPr>
        <w:pStyle w:val="ep-wysiwigparagraph"/>
        <w:shd w:val="clear" w:color="auto" w:fill="FFFFFF"/>
        <w:spacing w:before="0" w:beforeAutospacing="0" w:after="120" w:afterAutospacing="0"/>
        <w:ind w:left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Poznań, </w:t>
      </w:r>
      <w:r w:rsidR="00022688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12</w:t>
      </w:r>
      <w:r w:rsid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kwietnia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2021 r.</w:t>
      </w:r>
    </w:p>
    <w:sectPr w:rsidR="00CA24B0" w:rsidRPr="0034726C" w:rsidSect="008B44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67" w:rsidRDefault="00B57367" w:rsidP="006F0D4D">
      <w:pPr>
        <w:spacing w:after="0" w:line="240" w:lineRule="auto"/>
      </w:pPr>
      <w:r>
        <w:separator/>
      </w:r>
    </w:p>
  </w:endnote>
  <w:endnote w:type="continuationSeparator" w:id="0">
    <w:p w:rsidR="00B57367" w:rsidRDefault="00B57367" w:rsidP="006F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67" w:rsidRDefault="00B57367" w:rsidP="006F0D4D">
      <w:pPr>
        <w:spacing w:after="0" w:line="240" w:lineRule="auto"/>
      </w:pPr>
      <w:r>
        <w:separator/>
      </w:r>
    </w:p>
  </w:footnote>
  <w:footnote w:type="continuationSeparator" w:id="0">
    <w:p w:rsidR="00B57367" w:rsidRDefault="00B57367" w:rsidP="006F0D4D">
      <w:pPr>
        <w:spacing w:after="0" w:line="240" w:lineRule="auto"/>
      </w:pPr>
      <w:r>
        <w:continuationSeparator/>
      </w:r>
    </w:p>
  </w:footnote>
  <w:footnote w:id="1">
    <w:p w:rsidR="00223169" w:rsidRPr="00537F3D" w:rsidRDefault="00223169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</w:t>
      </w:r>
      <w:r w:rsidR="00D77005" w:rsidRPr="00537F3D">
        <w:rPr>
          <w:rFonts w:ascii="Arial Narrow" w:hAnsi="Arial Narrow"/>
          <w:sz w:val="18"/>
          <w:szCs w:val="18"/>
        </w:rPr>
        <w:t>r</w:t>
      </w:r>
      <w:r w:rsidRPr="00537F3D">
        <w:rPr>
          <w:rFonts w:ascii="Arial Narrow" w:hAnsi="Arial Narrow"/>
          <w:sz w:val="18"/>
          <w:szCs w:val="18"/>
        </w:rPr>
        <w:t>ozporządzenie Parlamentu Europejskiego i Rady UE 2021/41 z dnia 12 lutego 2021</w:t>
      </w:r>
      <w:r w:rsidR="00537F3D">
        <w:rPr>
          <w:rFonts w:ascii="Arial Narrow" w:hAnsi="Arial Narrow"/>
          <w:sz w:val="18"/>
          <w:szCs w:val="18"/>
        </w:rPr>
        <w:t>;</w:t>
      </w:r>
    </w:p>
  </w:footnote>
  <w:footnote w:id="2">
    <w:p w:rsidR="00537F3D" w:rsidRPr="00537F3D" w:rsidRDefault="00537F3D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rozdział środków z II transzy </w:t>
      </w:r>
      <w:r>
        <w:rPr>
          <w:rFonts w:ascii="Arial Narrow" w:hAnsi="Arial Narrow"/>
          <w:sz w:val="18"/>
          <w:szCs w:val="18"/>
        </w:rPr>
        <w:t>Rządowego Funduszu Inwestycji Lokalnych z Funduszu COVID-owego wg kryteriów politycznych;</w:t>
      </w:r>
    </w:p>
  </w:footnote>
  <w:footnote w:id="3">
    <w:p w:rsidR="00AE15D0" w:rsidRPr="00537F3D" w:rsidRDefault="00AE15D0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</w:t>
      </w:r>
      <w:r w:rsidR="004314F4" w:rsidRPr="00537F3D">
        <w:rPr>
          <w:rFonts w:ascii="Arial Narrow" w:hAnsi="Arial Narrow"/>
          <w:sz w:val="18"/>
          <w:szCs w:val="18"/>
        </w:rPr>
        <w:t>n</w:t>
      </w:r>
      <w:r w:rsidRPr="00537F3D">
        <w:rPr>
          <w:rFonts w:ascii="Arial Narrow" w:hAnsi="Arial Narrow"/>
          <w:sz w:val="18"/>
          <w:szCs w:val="18"/>
        </w:rPr>
        <w:t xml:space="preserve">ie dotyczy to programów regionalnych, które są zarządzane </w:t>
      </w:r>
      <w:r w:rsidR="004314F4" w:rsidRPr="00537F3D">
        <w:rPr>
          <w:rFonts w:ascii="Arial Narrow" w:hAnsi="Arial Narrow"/>
          <w:sz w:val="18"/>
          <w:szCs w:val="18"/>
        </w:rPr>
        <w:t xml:space="preserve">przez </w:t>
      </w:r>
      <w:r w:rsidR="00D77005" w:rsidRPr="00537F3D">
        <w:rPr>
          <w:rFonts w:ascii="Arial Narrow" w:hAnsi="Arial Narrow"/>
          <w:sz w:val="18"/>
          <w:szCs w:val="18"/>
        </w:rPr>
        <w:t xml:space="preserve">społeczności regionalne - </w:t>
      </w:r>
      <w:r w:rsidR="004314F4" w:rsidRPr="00537F3D">
        <w:rPr>
          <w:rFonts w:ascii="Arial Narrow" w:hAnsi="Arial Narrow"/>
          <w:sz w:val="18"/>
          <w:szCs w:val="18"/>
        </w:rPr>
        <w:t>samorządy województw</w:t>
      </w:r>
      <w:r w:rsidR="00D77005" w:rsidRPr="00537F3D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0A0"/>
    <w:multiLevelType w:val="hybridMultilevel"/>
    <w:tmpl w:val="31E2F5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6B4809"/>
    <w:multiLevelType w:val="hybridMultilevel"/>
    <w:tmpl w:val="A15239EA"/>
    <w:lvl w:ilvl="0" w:tplc="25849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D"/>
    <w:rsid w:val="00022688"/>
    <w:rsid w:val="00024A2B"/>
    <w:rsid w:val="000945BD"/>
    <w:rsid w:val="00134BBF"/>
    <w:rsid w:val="001F38BF"/>
    <w:rsid w:val="00200704"/>
    <w:rsid w:val="00223169"/>
    <w:rsid w:val="00246AF6"/>
    <w:rsid w:val="002A0D7F"/>
    <w:rsid w:val="002D296F"/>
    <w:rsid w:val="002F5067"/>
    <w:rsid w:val="0034726C"/>
    <w:rsid w:val="003A6DFE"/>
    <w:rsid w:val="003F52A8"/>
    <w:rsid w:val="004042F7"/>
    <w:rsid w:val="004314F4"/>
    <w:rsid w:val="0045381F"/>
    <w:rsid w:val="004A307F"/>
    <w:rsid w:val="00514A91"/>
    <w:rsid w:val="00537F3D"/>
    <w:rsid w:val="0066325E"/>
    <w:rsid w:val="006F0D4D"/>
    <w:rsid w:val="00700D33"/>
    <w:rsid w:val="007213A5"/>
    <w:rsid w:val="007A3EAC"/>
    <w:rsid w:val="008B18C8"/>
    <w:rsid w:val="008B4405"/>
    <w:rsid w:val="00947DBF"/>
    <w:rsid w:val="00952B0C"/>
    <w:rsid w:val="00987664"/>
    <w:rsid w:val="00997373"/>
    <w:rsid w:val="009B1380"/>
    <w:rsid w:val="009C7EAA"/>
    <w:rsid w:val="009E2103"/>
    <w:rsid w:val="00A31A0C"/>
    <w:rsid w:val="00A63ABC"/>
    <w:rsid w:val="00AD5D26"/>
    <w:rsid w:val="00AE15D0"/>
    <w:rsid w:val="00B57367"/>
    <w:rsid w:val="00B6712E"/>
    <w:rsid w:val="00B77927"/>
    <w:rsid w:val="00C639D9"/>
    <w:rsid w:val="00C92187"/>
    <w:rsid w:val="00CA24B0"/>
    <w:rsid w:val="00D33306"/>
    <w:rsid w:val="00D6444E"/>
    <w:rsid w:val="00D77005"/>
    <w:rsid w:val="00DE5A21"/>
    <w:rsid w:val="00E32700"/>
    <w:rsid w:val="00E46E1B"/>
    <w:rsid w:val="00E55528"/>
    <w:rsid w:val="00E91AB4"/>
    <w:rsid w:val="00F53C39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B9E0"/>
  <w15:chartTrackingRefBased/>
  <w15:docId w15:val="{41615A50-F637-4610-A605-5D833BD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D4D"/>
    <w:rPr>
      <w:vertAlign w:val="superscript"/>
    </w:rPr>
  </w:style>
  <w:style w:type="paragraph" w:customStyle="1" w:styleId="ep-wysiwigparagraph">
    <w:name w:val="ep-wysiwig_paragraph"/>
    <w:basedOn w:val="Normalny"/>
    <w:rsid w:val="00B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1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12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05"/>
  </w:style>
  <w:style w:type="paragraph" w:styleId="Stopka">
    <w:name w:val="footer"/>
    <w:basedOn w:val="Normalny"/>
    <w:link w:val="StopkaZnak"/>
    <w:uiPriority w:val="99"/>
    <w:unhideWhenUsed/>
    <w:rsid w:val="008B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05"/>
  </w:style>
  <w:style w:type="paragraph" w:customStyle="1" w:styleId="Default">
    <w:name w:val="Default"/>
    <w:rsid w:val="00CA2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Nadwyżka</a:t>
            </a:r>
            <a:r>
              <a:rPr lang="pl-PL" sz="1200"/>
              <a:t> operacyjna na 1 mieszkańca [PLN]</a:t>
            </a:r>
            <a:endParaRPr lang="en-US" sz="1200"/>
          </a:p>
        </c:rich>
      </c:tx>
      <c:layout>
        <c:manualLayout>
          <c:xMode val="edge"/>
          <c:yMode val="edge"/>
          <c:x val="0.16519033987153944"/>
          <c:y val="1.2955733217989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9441697411325266E-2"/>
          <c:y val="2.7682083309105092E-2"/>
          <c:w val="0.88000682323661983"/>
          <c:h val="0.78561287929099155"/>
        </c:manualLayout>
      </c:layout>
      <c:lineChart>
        <c:grouping val="standard"/>
        <c:varyColors val="0"/>
        <c:ser>
          <c:idx val="0"/>
          <c:order val="0"/>
          <c:tx>
            <c:strRef>
              <c:f>Arkusz1!$A$25</c:f>
              <c:strCache>
                <c:ptCount val="1"/>
                <c:pt idx="0">
                  <c:v>miasta na prawach powiatu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Arkusz1!$B$25:$D$25</c:f>
              <c:numCache>
                <c:formatCode>#,##0.00</c:formatCode>
                <c:ptCount val="3"/>
                <c:pt idx="0">
                  <c:v>568.80342562655801</c:v>
                </c:pt>
                <c:pt idx="1">
                  <c:v>504.36129034125548</c:v>
                </c:pt>
                <c:pt idx="2">
                  <c:v>313.19160106006046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B8-4328-9A64-AA06987BDAFD}"/>
            </c:ext>
          </c:extLst>
        </c:ser>
        <c:ser>
          <c:idx val="1"/>
          <c:order val="1"/>
          <c:tx>
            <c:strRef>
              <c:f>Arkusz1!$A$26</c:f>
              <c:strCache>
                <c:ptCount val="1"/>
                <c:pt idx="0">
                  <c:v>gminy miejskie (bez mnpp)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Arkusz1!$B$26:$D$26</c:f>
              <c:numCache>
                <c:formatCode>#,##0.00</c:formatCode>
                <c:ptCount val="3"/>
                <c:pt idx="0">
                  <c:v>329.93618870440974</c:v>
                </c:pt>
                <c:pt idx="1">
                  <c:v>311.98123767522247</c:v>
                </c:pt>
                <c:pt idx="2">
                  <c:v>251.5635132416713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B8-4328-9A64-AA06987BDAFD}"/>
            </c:ext>
          </c:extLst>
        </c:ser>
        <c:ser>
          <c:idx val="2"/>
          <c:order val="2"/>
          <c:tx>
            <c:strRef>
              <c:f>Arkusz1!$A$27</c:f>
              <c:strCache>
                <c:ptCount val="1"/>
                <c:pt idx="0">
                  <c:v>gminy miejsko-wiejskie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Arkusz1!$B$27:$D$27</c:f>
              <c:numCache>
                <c:formatCode>#,##0.00</c:formatCode>
                <c:ptCount val="3"/>
                <c:pt idx="0">
                  <c:v>395.89761923222733</c:v>
                </c:pt>
                <c:pt idx="1">
                  <c:v>420.7863909374986</c:v>
                </c:pt>
                <c:pt idx="2">
                  <c:v>431.55667861663051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B8-4328-9A64-AA06987BDAFD}"/>
            </c:ext>
          </c:extLst>
        </c:ser>
        <c:ser>
          <c:idx val="3"/>
          <c:order val="3"/>
          <c:tx>
            <c:strRef>
              <c:f>Arkusz1!$A$28</c:f>
              <c:strCache>
                <c:ptCount val="1"/>
                <c:pt idx="0">
                  <c:v>gminy wiejskie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Arkusz1!$B$28:$D$28</c:f>
              <c:numCache>
                <c:formatCode>#,##0.00</c:formatCode>
                <c:ptCount val="3"/>
                <c:pt idx="0">
                  <c:v>485.95965042574227</c:v>
                </c:pt>
                <c:pt idx="1">
                  <c:v>527.29837391676904</c:v>
                </c:pt>
                <c:pt idx="2">
                  <c:v>567.57828155614902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B8-4328-9A64-AA06987BD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373312"/>
        <c:axId val="887373872"/>
      </c:lineChart>
      <c:catAx>
        <c:axId val="8873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7373872"/>
        <c:crosses val="autoZero"/>
        <c:auto val="1"/>
        <c:lblAlgn val="ctr"/>
        <c:lblOffset val="100"/>
        <c:noMultiLvlLbl val="0"/>
      </c:catAx>
      <c:valAx>
        <c:axId val="887373872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737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103463886051949E-2"/>
          <c:y val="0.87436679278953922"/>
          <c:w val="0.77320654943238121"/>
          <c:h val="0.125633207210460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B642-180E-4BE9-B9A2-12CCAF2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dcterms:created xsi:type="dcterms:W3CDTF">2021-04-12T21:32:00Z</dcterms:created>
  <dcterms:modified xsi:type="dcterms:W3CDTF">2021-04-12T21:32:00Z</dcterms:modified>
</cp:coreProperties>
</file>