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B3" w:rsidRDefault="004F20B3" w:rsidP="00907FBE">
      <w:pPr>
        <w:pStyle w:val="OZNRODZAKTUtznustawalubrozporzdzenieiorganwydajcy"/>
      </w:pPr>
      <w:bookmarkStart w:id="0" w:name="_GoBack"/>
      <w:bookmarkEnd w:id="0"/>
      <w:r w:rsidRPr="008F485E">
        <w:t>Uzasadnienie</w:t>
      </w:r>
    </w:p>
    <w:p w:rsidR="004F20B3" w:rsidRPr="00AD0D64" w:rsidRDefault="004F20B3" w:rsidP="00F811E3"/>
    <w:p w:rsidR="004F20B3" w:rsidRPr="00F32CA6" w:rsidRDefault="004F20B3" w:rsidP="00AD0D64">
      <w:pPr>
        <w:rPr>
          <w:rStyle w:val="Ppogrubienie"/>
        </w:rPr>
      </w:pPr>
      <w:r w:rsidRPr="00F32CA6">
        <w:rPr>
          <w:rStyle w:val="Ppogrubienie"/>
        </w:rPr>
        <w:t xml:space="preserve">1. </w:t>
      </w:r>
      <w:r>
        <w:rPr>
          <w:rStyle w:val="Ppogrubienie"/>
        </w:rPr>
        <w:t>Przyczyny i c</w:t>
      </w:r>
      <w:r w:rsidRPr="00F32CA6">
        <w:rPr>
          <w:rStyle w:val="Ppogrubienie"/>
        </w:rPr>
        <w:t xml:space="preserve">el </w:t>
      </w:r>
      <w:r>
        <w:rPr>
          <w:rStyle w:val="Ppogrubienie"/>
        </w:rPr>
        <w:t xml:space="preserve">wydania </w:t>
      </w:r>
      <w:r w:rsidRPr="00F32CA6">
        <w:rPr>
          <w:rStyle w:val="Ppogrubienie"/>
        </w:rPr>
        <w:t>projektowanej ustawy</w:t>
      </w:r>
    </w:p>
    <w:p w:rsidR="004F20B3" w:rsidRDefault="004F20B3" w:rsidP="00907FBE">
      <w:pPr>
        <w:pStyle w:val="NIEARTTEKSTtekstnieartykuowanynppodstprawnarozplubpreambua"/>
      </w:pPr>
      <w:r w:rsidRPr="00C775D8">
        <w:t>Instytucj</w:t>
      </w:r>
      <w:r>
        <w:t xml:space="preserve">e sołectwa i </w:t>
      </w:r>
      <w:r w:rsidRPr="00C775D8">
        <w:t>sołtysa funkcjonuj</w:t>
      </w:r>
      <w:r>
        <w:t>ą</w:t>
      </w:r>
      <w:r w:rsidRPr="00C775D8">
        <w:t xml:space="preserve"> </w:t>
      </w:r>
      <w:r>
        <w:t xml:space="preserve">na </w:t>
      </w:r>
      <w:r w:rsidRPr="00C775D8">
        <w:t>polskiej wsi od wieków</w:t>
      </w:r>
      <w:r>
        <w:t xml:space="preserve"> i stanowią </w:t>
      </w:r>
      <w:r w:rsidRPr="00C775D8">
        <w:t>charakterystyczny składnik zorganizowanego życia osiadł</w:t>
      </w:r>
      <w:r>
        <w:t>ego</w:t>
      </w:r>
      <w:r w:rsidRPr="00C775D8">
        <w:t xml:space="preserve"> społeczności wiejskich.</w:t>
      </w:r>
      <w:r>
        <w:t xml:space="preserve"> </w:t>
      </w:r>
      <w:r w:rsidRPr="00C775D8">
        <w:t>Sołtys</w:t>
      </w:r>
      <w:r>
        <w:t>i</w:t>
      </w:r>
      <w:r w:rsidRPr="00C775D8">
        <w:t xml:space="preserve"> pełni</w:t>
      </w:r>
      <w:r>
        <w:t>ą</w:t>
      </w:r>
      <w:r w:rsidRPr="00C775D8">
        <w:t xml:space="preserve"> </w:t>
      </w:r>
      <w:r>
        <w:t xml:space="preserve">też doniosłą </w:t>
      </w:r>
      <w:r w:rsidRPr="00C775D8">
        <w:t>rolę w społecznym życiu wsi</w:t>
      </w:r>
      <w:r>
        <w:t xml:space="preserve"> – są </w:t>
      </w:r>
      <w:r w:rsidRPr="00C775D8">
        <w:t>nie tylko reprezentant</w:t>
      </w:r>
      <w:r>
        <w:t>ami</w:t>
      </w:r>
      <w:r w:rsidRPr="00C775D8">
        <w:t xml:space="preserve"> sołectwa, lecz także inicjator</w:t>
      </w:r>
      <w:r>
        <w:t>ami</w:t>
      </w:r>
      <w:r w:rsidRPr="00C775D8">
        <w:t xml:space="preserve"> przedsięwzięć służących społeczności wiejskiej. Ciesz</w:t>
      </w:r>
      <w:r>
        <w:t>ą</w:t>
      </w:r>
      <w:r w:rsidRPr="00C775D8">
        <w:t xml:space="preserve"> się </w:t>
      </w:r>
      <w:r>
        <w:t xml:space="preserve">w swoim środowisku </w:t>
      </w:r>
      <w:r w:rsidRPr="00C775D8">
        <w:t>autorytetem i społecznym uznaniem.</w:t>
      </w:r>
      <w:r>
        <w:t xml:space="preserve"> Zarazem w wielu gminach istnieją inne jednostki pomocnicze – w szczególności dzielnice i osiedla – które również mają istotne znaczenie dla funkcjonowania wspólnot lokalnych.</w:t>
      </w:r>
    </w:p>
    <w:p w:rsidR="004F20B3" w:rsidRDefault="004F20B3" w:rsidP="00907FBE">
      <w:pPr>
        <w:pStyle w:val="NIEARTTEKSTtekstnieartykuowanynppodstprawnarozplubpreambua"/>
      </w:pPr>
      <w:r w:rsidRPr="00C775D8">
        <w:t xml:space="preserve">Istotą wnoszonego projektu ustawy jest </w:t>
      </w:r>
      <w:r>
        <w:t xml:space="preserve">wzmocnienie samodzielności </w:t>
      </w:r>
      <w:r w:rsidRPr="004B2FB2">
        <w:t>jednost</w:t>
      </w:r>
      <w:r>
        <w:t>e</w:t>
      </w:r>
      <w:r w:rsidRPr="004B2FB2">
        <w:t>k pomocnicz</w:t>
      </w:r>
      <w:r>
        <w:t>ych</w:t>
      </w:r>
      <w:r w:rsidRPr="004B2FB2">
        <w:t xml:space="preserve"> </w:t>
      </w:r>
      <w:r>
        <w:t xml:space="preserve">gmin (sołectw, dzielnic, osiedli) i </w:t>
      </w:r>
      <w:r w:rsidRPr="004B2FB2">
        <w:t xml:space="preserve">urealnienie </w:t>
      </w:r>
      <w:r>
        <w:t xml:space="preserve">ich </w:t>
      </w:r>
      <w:r w:rsidRPr="004B2FB2">
        <w:t>praw do zarządzania i</w:t>
      </w:r>
      <w:r>
        <w:t> </w:t>
      </w:r>
      <w:r w:rsidRPr="004B2FB2">
        <w:t xml:space="preserve">korzystania </w:t>
      </w:r>
      <w:r>
        <w:t xml:space="preserve">z mienia komunalnego oraz do rozporządza dochodami z tego źródła, a ponadto – uhonorowanie, niewynagradzanego w inny sposób, wysiłku </w:t>
      </w:r>
      <w:r w:rsidRPr="00C775D8">
        <w:t>sołtys</w:t>
      </w:r>
      <w:r>
        <w:t>ów wkładanego w pełnienie ich funkcji.</w:t>
      </w:r>
    </w:p>
    <w:p w:rsidR="004F20B3" w:rsidRDefault="004F20B3" w:rsidP="00907FBE">
      <w:pPr>
        <w:pStyle w:val="ARTartustawynprozporzdzenia"/>
      </w:pPr>
      <w:r>
        <w:t xml:space="preserve">Dla zapewnienia spójności systemu prawnego, przewiduje się dokonanie zmian w ustawie z dnia </w:t>
      </w:r>
      <w:r w:rsidRPr="00155552">
        <w:t>8 marca 1990 r. o samorządzie gminnym</w:t>
      </w:r>
      <w:r>
        <w:t xml:space="preserve"> (dalej: u.s.g.).</w:t>
      </w:r>
    </w:p>
    <w:p w:rsidR="004F20B3" w:rsidRPr="003D4399" w:rsidRDefault="004F20B3" w:rsidP="00F811E3"/>
    <w:p w:rsidR="004F20B3" w:rsidRDefault="004F20B3" w:rsidP="00AD0D64">
      <w:pPr>
        <w:rPr>
          <w:rStyle w:val="Ppogrubienie"/>
        </w:rPr>
      </w:pPr>
      <w:r>
        <w:rPr>
          <w:rStyle w:val="Ppogrubienie"/>
        </w:rPr>
        <w:t>2</w:t>
      </w:r>
      <w:r w:rsidRPr="00F32CA6">
        <w:rPr>
          <w:rStyle w:val="Ppogrubienie"/>
        </w:rPr>
        <w:t xml:space="preserve">. </w:t>
      </w:r>
      <w:r>
        <w:rPr>
          <w:rStyle w:val="Ppogrubienie"/>
        </w:rPr>
        <w:t>Istniejący stan prawny</w:t>
      </w:r>
    </w:p>
    <w:p w:rsidR="004F20B3" w:rsidRDefault="004F20B3" w:rsidP="00B06703">
      <w:pPr>
        <w:pStyle w:val="NIEARTTEKSTtekstnieartykuowanynppodstprawnarozplubpreambua"/>
      </w:pPr>
      <w:r>
        <w:t>W obecnym stanie prawnym, u</w:t>
      </w:r>
      <w:r w:rsidRPr="004E1AD5">
        <w:t>.s.g.</w:t>
      </w:r>
      <w:r>
        <w:t xml:space="preserve"> nie precyzuje kwestii istotnych z punktu widzenia funkcjonowania jednostek pomocniczych gmin (sołectw, dzielnic, osiedli), co negatywnie wpływa na rozwój wspólnot lokalnych i powoduje, że hamowany jest </w:t>
      </w:r>
      <w:r w:rsidRPr="004E1AD5">
        <w:t>rozw</w:t>
      </w:r>
      <w:r>
        <w:t>ój społeczeństwa obywatelskiego. Ponadto część uregulowań w praktyce nie funkcjonuje. W szczególności chodzi tu o uprawnienie jednostek pomocniczych do zarządzania i korzystania z mienia komunalnego oraz rozporządza dochodami z niego. Problemy praktyczne i konflikty rodzi też brak regulacji przesłanek ważności zebrań wiejskich (w sołectwach) i ogólnych zebrań mieszkańców (w osiedlach). Ze względu na fakultatywność obowiązującej regulacji, większość gmin nie reguluje też w żaden sposób kwestii diet i zwrotu kosztów przewodniczącym organów wykonawczych jednostek pomocniczych. Dodatkowo zaangażowanie w życie społeczności lokalnych, przez pełnienie – często wieloletnie – funkcji sołtysów, mimo zgłaszanych od lat postulatów, wciąż pozostaje niedocenione.</w:t>
      </w:r>
    </w:p>
    <w:p w:rsidR="004F20B3" w:rsidRPr="00B025DF" w:rsidRDefault="004F20B3" w:rsidP="00AD0D64"/>
    <w:p w:rsidR="004F20B3" w:rsidRPr="00F32CA6" w:rsidRDefault="004F20B3" w:rsidP="00AD0D64">
      <w:pPr>
        <w:rPr>
          <w:rStyle w:val="Ppogrubienie"/>
        </w:rPr>
      </w:pPr>
      <w:r>
        <w:rPr>
          <w:rStyle w:val="Ppogrubienie"/>
        </w:rPr>
        <w:lastRenderedPageBreak/>
        <w:t xml:space="preserve">3. </w:t>
      </w:r>
      <w:r w:rsidRPr="00F32CA6">
        <w:rPr>
          <w:rStyle w:val="Ppogrubienie"/>
        </w:rPr>
        <w:t>Projektowany stan prawny</w:t>
      </w:r>
    </w:p>
    <w:p w:rsidR="004F20B3" w:rsidRPr="006D5650" w:rsidRDefault="004F20B3" w:rsidP="004C68C6">
      <w:pPr>
        <w:pStyle w:val="NIEARTTEKSTtekstnieartykuowanynppodstprawnarozplubpreambua"/>
        <w:rPr>
          <w:u w:val="single"/>
        </w:rPr>
      </w:pPr>
      <w:r w:rsidRPr="004C68C6">
        <w:rPr>
          <w:u w:val="single"/>
        </w:rPr>
        <w:t xml:space="preserve">Wzmocnienie samodzielności i urealnienie praw jednostek pomocniczych gmin </w:t>
      </w:r>
      <w:r>
        <w:rPr>
          <w:u w:val="single"/>
        </w:rPr>
        <w:t>(art. 1 pkt 1, pkt 2 lit. b tiret drugie i pkt 6)</w:t>
      </w:r>
    </w:p>
    <w:p w:rsidR="004F20B3" w:rsidRDefault="004F20B3" w:rsidP="002B4C00">
      <w:pPr>
        <w:pStyle w:val="ARTartustawynprozporzdzenia"/>
      </w:pPr>
      <w:r>
        <w:t>Ponad trzydziestoletnie doświadczenie samorządu terytorialnego w Polsce dowodzi, że społeczności lokalne</w:t>
      </w:r>
      <w:r w:rsidRPr="004E1AD5">
        <w:t xml:space="preserve"> </w:t>
      </w:r>
      <w:r>
        <w:t>są chętne i zdolne do realizacji wielu ważkich, oddolnych inicjatyw bezpośrednio przekładających się na jakość życia jednostek</w:t>
      </w:r>
      <w:r w:rsidRPr="004E1AD5">
        <w:t xml:space="preserve">. </w:t>
      </w:r>
      <w:r>
        <w:t>Pozostawienie części środków publicznych w dyspozycji jednostek pomocniczych gmin może mieć tylko pozytywne skutki w tym zakresie.</w:t>
      </w:r>
      <w:r w:rsidRPr="002B4C00">
        <w:t xml:space="preserve"> </w:t>
      </w:r>
      <w:r>
        <w:t>Co oczywiste, środki te pozostawałyby mieniem komunalnym, więc dysponowanie nimi podlegałoby wszystkim regułom, znanym samorządom od lat, byłoby też odpowiednio nadzorowane i kontrolowane.</w:t>
      </w:r>
    </w:p>
    <w:p w:rsidR="004F20B3" w:rsidRDefault="004F20B3" w:rsidP="004C68C6">
      <w:pPr>
        <w:pStyle w:val="ARTartustawynprozporzdzenia"/>
        <w:rPr>
          <w:rFonts w:eastAsia="Times New Roman"/>
        </w:rPr>
      </w:pPr>
      <w:r>
        <w:t>W reakcji na sygnalizowane problemy z korzystaniem przez jednostki pomocnicze gmin (sołectwa, dzielnice, osiedla) z ustawowego prawa (</w:t>
      </w:r>
      <w:r w:rsidRPr="004B2FB2">
        <w:t>art. 48 ust. 1 u.s.g.</w:t>
      </w:r>
      <w:r>
        <w:t xml:space="preserve">) </w:t>
      </w:r>
      <w:r w:rsidRPr="004B2FB2">
        <w:t>do zarządzania i</w:t>
      </w:r>
      <w:r>
        <w:t> </w:t>
      </w:r>
      <w:r w:rsidRPr="004B2FB2">
        <w:t xml:space="preserve">korzystania </w:t>
      </w:r>
      <w:r>
        <w:t xml:space="preserve">z mienia komunalnego oraz do rozporządza dochodami z tego źródła, przewiduje się tworzenie przez gminy – na wniosek jednostek pomocniczych – subkont (art. 1 pkt 1 – art. 5 ust. 5 u.s.g.). Jest to zagadnienie całkowicie odrębne od regulowanego ustawą z </w:t>
      </w:r>
      <w:r w:rsidRPr="00A209B5">
        <w:rPr>
          <w:rFonts w:eastAsia="Times New Roman"/>
        </w:rPr>
        <w:t>dnia 21 lutego 2014 r. o funduszu sołeckim (</w:t>
      </w:r>
      <w:r>
        <w:rPr>
          <w:rFonts w:eastAsia="Times New Roman"/>
        </w:rPr>
        <w:t>ogólnogminnym, dzielonym na poszczególne sołectwa /według określonego algorytmu/, z którego wydatki są częściowo zwracane gminom przez budżet państwa)</w:t>
      </w:r>
      <w:r w:rsidRPr="00A209B5">
        <w:rPr>
          <w:rFonts w:eastAsia="Times New Roman"/>
        </w:rPr>
        <w:t>.</w:t>
      </w:r>
    </w:p>
    <w:p w:rsidR="004F20B3" w:rsidRDefault="004F20B3" w:rsidP="004C68C6">
      <w:pPr>
        <w:pStyle w:val="ARTartustawynprozporzdzenia"/>
      </w:pPr>
      <w:r>
        <w:t xml:space="preserve">Tworząc subkonta, gminy pozostałyby samodzielne i – w sposób dostosowany do warunków miejscowych – decydowałyby też o uzupełnieniu statutów jednostek pomocniczych o regulację sposobu, warunków, trybu i osób uprawnionych do dysponowania środkami pieniężnymi tam zgromadzonymi (art. 1 pkt 2 lit. b tiret drugie – art. 35 ust. 3 pkt 4a u.s.g.). </w:t>
      </w:r>
    </w:p>
    <w:p w:rsidR="004F20B3" w:rsidRDefault="004F20B3" w:rsidP="004C68C6">
      <w:pPr>
        <w:pStyle w:val="ARTartustawynprozporzdzenia"/>
      </w:pPr>
      <w:r>
        <w:t>Ponadto przewiduje się, że – w odniesieniu do darowizn, spadków, zapisów i środków pochodzących z ofiarności publicznej – stroną (odpowiednio obdarowaną lub spadkobierczynią, beneficjentem zbiórki) pozostawałby gmina, ale – o ile taka byłaby wola darczyńcy / spadkodawcy (albo określony cel zbiórki) – musiałaby ona przekazać środki pieniężne na subkonto jednostki pomocniczej. Gmina musiałaby również zapewnić takiej jednostce korzystanie oraz rozporządzanie dochodami z rzeczy będących przedmiotem darowizny, spadku albo zapisu (art. 1 pkt 6 – art. 45 ust. 3 u.s.g.).</w:t>
      </w:r>
    </w:p>
    <w:p w:rsidR="004F20B3" w:rsidRDefault="004F20B3" w:rsidP="004B1225">
      <w:pPr>
        <w:pStyle w:val="ARTartustawynprozporzdzenia"/>
      </w:pPr>
      <w:r>
        <w:t>Gdyby jednostka pomocnicza uznała za słuszną rezygnację z subkonta, zgromadzone środki trafiałyby na rachunek gminy, a w wypadku sołectwa – na fundusz sołecki (dzielony pomiędzy wszystkie sołectwa w gminie; art. 1 pkt 1 – art. 5 ust. 6 u.s.g.).</w:t>
      </w:r>
    </w:p>
    <w:p w:rsidR="004F20B3" w:rsidRPr="006D5650" w:rsidRDefault="004F20B3" w:rsidP="004C68C6">
      <w:pPr>
        <w:pStyle w:val="ARTartustawynprozporzdzenia"/>
        <w:rPr>
          <w:u w:val="single"/>
        </w:rPr>
      </w:pPr>
      <w:r w:rsidRPr="006D5650">
        <w:rPr>
          <w:u w:val="single"/>
        </w:rPr>
        <w:t>Brak obowiązku konsultowania niektórych zmian statutu jednostki pomocniczej</w:t>
      </w:r>
      <w:r>
        <w:rPr>
          <w:u w:val="single"/>
        </w:rPr>
        <w:t xml:space="preserve"> oraz zawarcie w nim dodatkowych postanowień (art. 1 pkt 2 lit. a i lit. b tiret pierwsze projektu)</w:t>
      </w:r>
    </w:p>
    <w:p w:rsidR="004F20B3" w:rsidRDefault="004F20B3" w:rsidP="004C68C6">
      <w:pPr>
        <w:pStyle w:val="ARTartustawynprozporzdzenia"/>
      </w:pPr>
      <w:r>
        <w:t>W obecnym stanie prawnym organizację i zakres działania jednostki pomocniczej określa rada gminy statutem, po przeprowadzeniu konsultacji z mieszkańcami (art. 35 ust. 1 u.s.g.). Tym samym również każda zmiana statutu musi być z nimi konsultowana. Należy mieć jednak na uwadze, że organem uchwałodawczym jest w sołectwie zebranie wiejskie, a w dzielnicy/osiedlu ‒ rada. I skoro te ciała (złożone z ogółu mieszkańców albo go reprezentujące) wnioskują o zmianę statutu jednostki pomocniczej, to prowadzenie konsultacji nie jest celowe (art. 1 pkt 2 lit. a). Decyzja o uwzględnieniu albo nieuwzględnieniu wniosku należeć będzie niezmiennie do gminy. Regulacja ta ma to również znaczenie w kontekście proponowanych w projekcie zmian w zakresie zawartości statutu jednostki pomocniczej (art. 1 pkt 2 lit. b tiret pierwsze).</w:t>
      </w:r>
    </w:p>
    <w:p w:rsidR="004F20B3" w:rsidRDefault="004F20B3" w:rsidP="004C68C6">
      <w:pPr>
        <w:pStyle w:val="NIEARTTEKSTtekstnieartykuowanynppodstprawnarozplubpreambua"/>
      </w:pPr>
      <w:r w:rsidRPr="00FD61CE">
        <w:t xml:space="preserve">W reakcji na </w:t>
      </w:r>
      <w:r>
        <w:t>sygnalizowane konflikty w społecznościach lokalnych, zobowiązuje się gminy do zawarcia w statutach jednostek pomocniczych postanowień określających przesłanki ważności ogólnych zebrań mieszkańców (w osiedlach) oraz zebrań wiejskich (w sołectwach). Pozostawia się jednak gminom swobodę kształtowania tych regulacji, zależnie od warunków miejscowych (art. 1 pkt 2 lit. b. tiret pierwsze – art. 35 ust. 3 pkt 3 u.s.g.). Zarazem – wobec całokształtu istniejących regulacji ustawowych i utartej praktyki – nie jest konieczne regulowanie przesłanek ważności posiedzeń rad dzielnic i rad osiedli.</w:t>
      </w:r>
    </w:p>
    <w:p w:rsidR="004F20B3" w:rsidRPr="006D5650" w:rsidRDefault="004F20B3" w:rsidP="00907FBE">
      <w:pPr>
        <w:pStyle w:val="NIEARTTEKSTtekstnieartykuowanynppodstprawnarozplubpreambua"/>
        <w:rPr>
          <w:u w:val="single"/>
        </w:rPr>
      </w:pPr>
      <w:r w:rsidRPr="006D5650">
        <w:rPr>
          <w:u w:val="single"/>
        </w:rPr>
        <w:t>Świadczenie dla sołtysów</w:t>
      </w:r>
      <w:r>
        <w:rPr>
          <w:u w:val="single"/>
        </w:rPr>
        <w:t xml:space="preserve"> (art. 1 pkt 3 projektu)</w:t>
      </w:r>
    </w:p>
    <w:p w:rsidR="004F20B3" w:rsidRPr="004400AD" w:rsidRDefault="004F20B3" w:rsidP="004400AD">
      <w:pPr>
        <w:pStyle w:val="NIEARTTEKSTtekstnieartykuowanynppodstprawnarozplubpreambua"/>
      </w:pPr>
      <w:r>
        <w:t>Projekt przewiduje przyznanie sołtysom miesięcznego świadczenia pieniężnego w wysokości determinowanej wysokością minimalnego wynagrodzenia za pracę. Sołtys, który pracował na rzecz lokalnej społeczności przez jedną pełną kadencję, otrzymywałby 10% minimalnego wynagrodzenia za pracę (obecnie 349 zł, od lipca br. 360 zł), a gdyby pełnił funkcję dłużej, otrzymywałby za kolejne pełne kadencje po 3% tego wynagrodzenia (obecnie po 104,70 zł, od lipca br. – po 108 zł), ale łącznie nie więcej niż 19 % (obecnie maksymalne świadczenie wyniosłoby więc 663,10 zł, od lipca br. – 684 zł). Kwoty te rosłyby wraz ze wzrostem płacy minimalnej, utrzymując – przynajmniej w przybliżeniu – swoją realną wartość</w:t>
      </w:r>
      <w:r w:rsidRPr="004400AD">
        <w:t xml:space="preserve"> (art. 1 pkt 3 – art. 36a ust. 1 u.s.g.).</w:t>
      </w:r>
    </w:p>
    <w:p w:rsidR="004F20B3" w:rsidRDefault="004F20B3" w:rsidP="00907FBE">
      <w:pPr>
        <w:pStyle w:val="NIEARTTEKSTtekstnieartykuowanynppodstprawnarozplubpreambua"/>
        <w:rPr>
          <w:snapToGrid w:val="0"/>
        </w:rPr>
      </w:pPr>
      <w:r w:rsidRPr="00AA435A">
        <w:rPr>
          <w:snapToGrid w:val="0"/>
        </w:rPr>
        <w:t xml:space="preserve">Świadczenie </w:t>
      </w:r>
      <w:r>
        <w:rPr>
          <w:snapToGrid w:val="0"/>
        </w:rPr>
        <w:t xml:space="preserve">to, </w:t>
      </w:r>
      <w:r w:rsidRPr="00AA435A">
        <w:rPr>
          <w:snapToGrid w:val="0"/>
        </w:rPr>
        <w:t xml:space="preserve">byłoby </w:t>
      </w:r>
      <w:r>
        <w:rPr>
          <w:snapToGrid w:val="0"/>
        </w:rPr>
        <w:t>wyrazem docenienia – często wieloletniego – zaangażowania i pracy sołtysa na rzecz społeczności lokalnej. Należy podkreślić, że funkcja ta nie tylko nie jest w żaden sposób wynagradzana, lecz także wiąże się z reguły z ponoszeniem kosztów (mimo prawnej możliwości, sołtysi co do zasady nie otrzymują diet ani zwrotu kosztów). Stąd tego rodzaju gratyfikacja jest w pełni uzasadniona. Świadczenie przysługiwałoby po ukończeniu – odpowiednio w odniesieniu do kobiet i mężczyzn – 60 i 65 lat życia, czyli „wieku emerytalnego”. W większości wypadków uzupełniałoby więc świadczenie emerytalne, poprawiając ekonomiczną sytuację sołtysów, choć podkreślić należy, że jego przyznawanie nie byłoby zależne od „przejścia na emeryturę”, a jedynie od osiągnięcia ustawowo określonego wieku (i pełnienia funkcji sołtysa przez co najmniej jedną pełną kadencję).</w:t>
      </w:r>
    </w:p>
    <w:p w:rsidR="004F20B3" w:rsidRPr="00CD0262" w:rsidRDefault="004F20B3" w:rsidP="00CD0262">
      <w:pPr>
        <w:pStyle w:val="NIEARTTEKSTtekstnieartykuowanynppodstprawnarozplubpreambua"/>
      </w:pPr>
      <w:r>
        <w:rPr>
          <w:snapToGrid w:val="0"/>
        </w:rPr>
        <w:t xml:space="preserve">Świadczenie byłoby </w:t>
      </w:r>
      <w:r>
        <w:t xml:space="preserve">finansowanie z budżetu państwa (z części ministra właściwego do spraw rozwoju wsi, obejmującej m.in. ubezpieczenie społeczne rolników) za pośrednictwem funduszu emerytalno-rentowego </w:t>
      </w:r>
      <w:r>
        <w:rPr>
          <w:rFonts w:eastAsia="Times New Roman"/>
        </w:rPr>
        <w:t>Kasy Rolniczego Ubezpieczenia Społecznego (dalej: KRUS)</w:t>
      </w:r>
      <w:r>
        <w:t>, z którego wypłatę świadczeń gwarantuje Państwo (art. 76 ust. 3 u</w:t>
      </w:r>
      <w:r>
        <w:rPr>
          <w:rFonts w:eastAsia="Times New Roman"/>
        </w:rPr>
        <w:t>stawy z dnia 20 </w:t>
      </w:r>
      <w:r w:rsidRPr="003B7621">
        <w:rPr>
          <w:rFonts w:eastAsia="Times New Roman"/>
        </w:rPr>
        <w:t>grudnia 1990</w:t>
      </w:r>
      <w:r>
        <w:rPr>
          <w:rFonts w:eastAsia="Times New Roman"/>
        </w:rPr>
        <w:t> </w:t>
      </w:r>
      <w:r w:rsidRPr="003B7621">
        <w:rPr>
          <w:rFonts w:eastAsia="Times New Roman"/>
        </w:rPr>
        <w:t xml:space="preserve">r. o ubezpieczeniu społecznym </w:t>
      </w:r>
      <w:r>
        <w:rPr>
          <w:rFonts w:eastAsia="Times New Roman"/>
        </w:rPr>
        <w:t xml:space="preserve">rolników </w:t>
      </w:r>
      <w:r>
        <w:t>art. 1 pkt 3 – art. 36a ust. 4 u.s.g.)</w:t>
      </w:r>
      <w:r w:rsidRPr="003B7621">
        <w:rPr>
          <w:rFonts w:eastAsia="Times New Roman"/>
        </w:rPr>
        <w:t>.</w:t>
      </w:r>
      <w:r>
        <w:rPr>
          <w:rFonts w:eastAsia="Times New Roman"/>
        </w:rPr>
        <w:t xml:space="preserve"> Wypłaty świadczeń dokonywałaby KRUS, dysponująca pełnym zapleczem organizacyjno-technicznym oraz </w:t>
      </w:r>
      <w:r>
        <w:t xml:space="preserve">pełnymi danymi </w:t>
      </w:r>
      <w:r>
        <w:rPr>
          <w:rFonts w:eastAsia="Times New Roman"/>
        </w:rPr>
        <w:t>zdecydowanej większości sołtysów</w:t>
      </w:r>
      <w:r>
        <w:t xml:space="preserve">, ponieważ </w:t>
      </w:r>
      <w:r>
        <w:rPr>
          <w:rFonts w:eastAsia="Times New Roman"/>
        </w:rPr>
        <w:t>wypłaca (albo będzie wypłacać) im emerytury. D</w:t>
      </w:r>
      <w:r>
        <w:t>la uproszczenia całości systemu, n</w:t>
      </w:r>
      <w:r>
        <w:rPr>
          <w:rFonts w:eastAsia="Times New Roman"/>
        </w:rPr>
        <w:t xml:space="preserve">ielicznym zapewne sołtysom, </w:t>
      </w:r>
      <w:r>
        <w:t>pobierającym (obecnie albo w przyszłości) emerytury z ZUS albo z Zakładu Emerytalno-Rentowego MSWiA, świadczenie również wypłacałaby KRUS. Dla zmniejszenia liczby wypłat, świadczenia byłyby wypłacane wraz z emeryturami, albo – w odniesieniu do osób nie pobierających ich (w ogóle albo z KRUS) – do 15 dnia miesiąca.</w:t>
      </w:r>
    </w:p>
    <w:p w:rsidR="004F20B3" w:rsidRDefault="004F20B3" w:rsidP="00907FBE">
      <w:pPr>
        <w:pStyle w:val="NIEARTTEKSTtekstnieartykuowanynppodstprawnarozplubpreambua"/>
      </w:pPr>
      <w:r>
        <w:rPr>
          <w:snapToGrid w:val="0"/>
        </w:rPr>
        <w:t xml:space="preserve">Świadczenie byłoby </w:t>
      </w:r>
      <w:r w:rsidRPr="00AA435A">
        <w:rPr>
          <w:snapToGrid w:val="0"/>
        </w:rPr>
        <w:t xml:space="preserve">przyznawane na </w:t>
      </w:r>
      <w:r>
        <w:rPr>
          <w:snapToGrid w:val="0"/>
        </w:rPr>
        <w:t xml:space="preserve">– możliwie najprostszy formalnie – </w:t>
      </w:r>
      <w:r w:rsidRPr="00AA435A">
        <w:rPr>
          <w:snapToGrid w:val="0"/>
        </w:rPr>
        <w:t>wniosek</w:t>
      </w:r>
      <w:r>
        <w:rPr>
          <w:snapToGrid w:val="0"/>
        </w:rPr>
        <w:t xml:space="preserve"> sołtysa, który osiągnął ustawowo określony wiek, decyzję wydawałby wójt, a postępowanie regulowałaby ustawa z dnia 14 czerwca 1960 r. – Kodeks postępowania administracyjnego (art. 1 pkt 3 – art. 36b ust. 1, 2 i 10 u.s.g.). Minimalizuje to zarówno wysiłek po stronie wnioskodawcy, jak i angażowanie zasobów administracyjnych. Ponieważ gminy dysponują dokumentacją sołectw i sołtysów, ci ostatni musieliby – co do zasady – tylko wskazać okres albo okresy pełnienia funkcji bez dokumentowania. Dopiero, gdyby gmina nie mogła – na podstawie posiadanej dokumentacji – potwierdzić faktu i okresu (okresów) pełnienia funkcji sołtysa, musiałby on przedstawić odpowiednie dokumenty. W razie ich braku natomiast, wystarczające byłoby przedstawienie – składanych pod odpowiedzialnością karną – oświadczeń trzech świadków, w tym jednego, który pełnił funkcje publiczne lub był zatrudniony w urzędzie gminy. Takie rozwiązanie przewiduje już obecnie ustawa </w:t>
      </w:r>
      <w:r w:rsidRPr="000A77C1">
        <w:rPr>
          <w:rFonts w:ascii="Times New Roman" w:eastAsia="Times New Roman" w:hAnsi="Times New Roman"/>
        </w:rPr>
        <w:t>z dnia 17</w:t>
      </w:r>
      <w:r>
        <w:rPr>
          <w:rFonts w:ascii="Times New Roman" w:eastAsia="Times New Roman" w:hAnsi="Times New Roman"/>
        </w:rPr>
        <w:t> </w:t>
      </w:r>
      <w:r w:rsidRPr="000A77C1">
        <w:rPr>
          <w:rFonts w:ascii="Times New Roman" w:eastAsia="Times New Roman" w:hAnsi="Times New Roman"/>
        </w:rPr>
        <w:t>grudnia 2021 r. o ochotniczych strażach pożarnych</w:t>
      </w:r>
      <w:r>
        <w:rPr>
          <w:rFonts w:ascii="Times New Roman" w:eastAsia="Times New Roman" w:hAnsi="Times New Roman"/>
        </w:rPr>
        <w:t>,</w:t>
      </w:r>
      <w:r w:rsidRPr="000A77C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</w:t>
      </w:r>
      <w:r>
        <w:t xml:space="preserve"> odniesieniu do potwierdzania bezpośredniego udziału w działaniach ratowniczych (art. 1 pkt 3 – art. 36b ust. 3–9</w:t>
      </w:r>
      <w:r w:rsidRPr="00EF1285">
        <w:t xml:space="preserve"> </w:t>
      </w:r>
      <w:r>
        <w:t>u.s.g.).</w:t>
      </w:r>
    </w:p>
    <w:p w:rsidR="004F20B3" w:rsidRPr="00C166CC" w:rsidRDefault="004F20B3" w:rsidP="00907FBE">
      <w:pPr>
        <w:pStyle w:val="ARTartustawynprozporzdzenia"/>
        <w:rPr>
          <w:u w:val="single"/>
        </w:rPr>
      </w:pPr>
      <w:r w:rsidRPr="00C166CC">
        <w:rPr>
          <w:u w:val="single"/>
        </w:rPr>
        <w:t>Zastępowanie sołtysa w pracach rady gminy (art. 1 pkt 4 projektu)</w:t>
      </w:r>
    </w:p>
    <w:p w:rsidR="004F20B3" w:rsidRDefault="004F20B3" w:rsidP="004F579D">
      <w:pPr>
        <w:pStyle w:val="NIEARTTEKSTtekstnieartykuowanynppodstprawnarozplubpreambua"/>
      </w:pPr>
      <w:r>
        <w:t>Zgodnie z art. 37a u.s.g., przewodniczący organu wykonawczego jednostki pomocniczej (zarządu) może uczestniczyć w pracach rady gminy (na zasadach określonych w statucie gminy), choć bez prawa udziału w głosowaniu. O sesji rady gminy musi być każdorazowo zawiadamiany tak, jak radni. W doktrynie i praktyce samorządowej uznaje się, że pojęcie „przewodniczący organu wykonawczego jednostki pomocniczej” obejmuje również sołtysa (organ wykonawczy jednoosobowy).</w:t>
      </w:r>
    </w:p>
    <w:p w:rsidR="004F20B3" w:rsidRDefault="004F20B3" w:rsidP="004F579D">
      <w:pPr>
        <w:pStyle w:val="NIEARTTEKSTtekstnieartykuowanynppodstprawnarozplubpreambua"/>
      </w:pPr>
      <w:r>
        <w:t>Ze względu na możliwe zdarzenia losowe albo zróżnicowane kompetencje potrzebne do udziału w pracach rady gminy nad poszczególnymi analizowanymi zagadnieniami, przewiduje się umożliwienie przewodniczącym (sołtysom) upoważniania innych osób do udziału w pracach rad gmin. Proponuje się tu jednak ograniczenie kręgu osób potencjalnie upoważnianych do tych zaangażowanych w funkcjonowanie jednostki pomocniczej, czyli członków rad sołeckich (wspomagających sołtysów) albo członków zarządów i rad dzielnic (osiedli). Należy mieć tu na uwadze, że organy uchwałodawcze dzielnic (osiedli) liczą nie więcej niż 21 osób, gdy zebrania wiejskie (w sołectwach) są – z reguły – dużo liczniejsze.</w:t>
      </w:r>
    </w:p>
    <w:p w:rsidR="004F20B3" w:rsidRPr="006D5650" w:rsidRDefault="004F20B3" w:rsidP="004C68C6">
      <w:pPr>
        <w:pStyle w:val="ARTartustawynprozporzdzenia"/>
        <w:rPr>
          <w:u w:val="single"/>
        </w:rPr>
      </w:pPr>
      <w:r w:rsidRPr="006D5650">
        <w:rPr>
          <w:u w:val="single"/>
        </w:rPr>
        <w:t>Obowiązek uregulowania zasad przysługiwania diet lub zwrotu kosztów</w:t>
      </w:r>
      <w:r>
        <w:rPr>
          <w:u w:val="single"/>
        </w:rPr>
        <w:t xml:space="preserve"> (art. 1 pkt 5 projektu)</w:t>
      </w:r>
    </w:p>
    <w:p w:rsidR="004F20B3" w:rsidRDefault="004F20B3" w:rsidP="004C68C6">
      <w:pPr>
        <w:pStyle w:val="NIEARTTEKSTtekstnieartykuowanynppodstprawnarozplubpreambua"/>
      </w:pPr>
      <w:r>
        <w:t>Projekt przewiduje, że – w miejsce obowiązującej obecnie możliwości – rada gminy byłaby zobowiązana do ustanowienia zasad, na jakich przewodniczącemu organu wykonawczego jednostki pomocniczej przysługiwałaby dieta lub zwrot kosztów podróży służbowej.</w:t>
      </w:r>
      <w:r w:rsidRPr="00C775D8">
        <w:t xml:space="preserve"> </w:t>
      </w:r>
      <w:r>
        <w:t>W poszanowaniu samorządności, kształt rozwiązań, w tym określenie wysokości diet i limitu zwracanych kosztów z uwzględnieniem uwarunkowań lokalnych, pozostawia się poszczególnym gminom. Gminy decydowałaby też, czy owi przewodniczący mieliby otrzymywać i dietę, i zwrot kosztów, czy też tylko jedno (i które) z tych świadczeń, bo w obecnym stanie prawnym gmina wprawdzie w ogóle nie musi regulować tej kwestii, ale jeśli już to czyni, to musi zapewnić oba świadczenia kumulatywnie.</w:t>
      </w:r>
    </w:p>
    <w:p w:rsidR="004F20B3" w:rsidRPr="001550CD" w:rsidRDefault="004F20B3" w:rsidP="008311ED">
      <w:pPr>
        <w:pStyle w:val="ARTartustawynprozporzdzenia"/>
        <w:rPr>
          <w:u w:val="single"/>
        </w:rPr>
      </w:pPr>
      <w:r w:rsidRPr="001550CD">
        <w:rPr>
          <w:u w:val="single"/>
        </w:rPr>
        <w:t>Prawo występowania z inicjatywą lokalną (art. 2)</w:t>
      </w:r>
    </w:p>
    <w:p w:rsidR="004F20B3" w:rsidRPr="001550CD" w:rsidRDefault="004F20B3" w:rsidP="00AE373E">
      <w:pPr>
        <w:pStyle w:val="NIEARTTEKSTtekstnieartykuowanynppodstprawnarozplubpreambua"/>
      </w:pPr>
      <w:r>
        <w:t>Projekt odpowiada na postulaty w</w:t>
      </w:r>
      <w:r w:rsidRPr="001550CD">
        <w:t>zmocnieni</w:t>
      </w:r>
      <w:r>
        <w:t>a</w:t>
      </w:r>
      <w:r w:rsidRPr="001550CD">
        <w:t xml:space="preserve"> roli sołectw</w:t>
      </w:r>
      <w:r>
        <w:t xml:space="preserve"> przez umożliwienie im </w:t>
      </w:r>
      <w:r w:rsidRPr="001550CD">
        <w:t>występowa</w:t>
      </w:r>
      <w:r>
        <w:t>nia</w:t>
      </w:r>
      <w:r w:rsidRPr="001550CD">
        <w:t xml:space="preserve"> z inicjatywami lokalnymi</w:t>
      </w:r>
      <w:r>
        <w:t>. Zgodnie z art. 2 pkt 4 u</w:t>
      </w:r>
      <w:r w:rsidRPr="001550CD">
        <w:rPr>
          <w:rFonts w:ascii="Times New Roman" w:eastAsia="Times New Roman" w:hAnsi="Times New Roman"/>
        </w:rPr>
        <w:t>staw</w:t>
      </w:r>
      <w:r>
        <w:rPr>
          <w:rFonts w:ascii="Times New Roman" w:eastAsia="Times New Roman" w:hAnsi="Times New Roman"/>
        </w:rPr>
        <w:t>y</w:t>
      </w:r>
      <w:r w:rsidRPr="001550CD">
        <w:rPr>
          <w:rFonts w:ascii="Times New Roman" w:eastAsia="Times New Roman" w:hAnsi="Times New Roman"/>
        </w:rPr>
        <w:t xml:space="preserve"> z dnia 24 kwietnia 2003</w:t>
      </w:r>
      <w:r>
        <w:rPr>
          <w:rFonts w:ascii="Times New Roman" w:eastAsia="Times New Roman" w:hAnsi="Times New Roman"/>
        </w:rPr>
        <w:t> </w:t>
      </w:r>
      <w:r w:rsidRPr="001550CD">
        <w:rPr>
          <w:rFonts w:ascii="Times New Roman" w:eastAsia="Times New Roman" w:hAnsi="Times New Roman"/>
        </w:rPr>
        <w:t>r. o działalności pożytku publicznego i o wolontariacie</w:t>
      </w:r>
      <w:r>
        <w:rPr>
          <w:rFonts w:ascii="Times New Roman" w:eastAsia="Times New Roman" w:hAnsi="Times New Roman"/>
        </w:rPr>
        <w:t xml:space="preserve">, jest to forma </w:t>
      </w:r>
      <w:r>
        <w:t>współpracy jednostek samorządu terytorialnego z ich mieszkańcami, w celu wspólnego realizowania zadania publicznego na rzecz społeczności lokalnej. W myśl art. 19b tej ustawy, w ramach takiej inicjatywy mieszkańcy jednostki samorządu terytorialnego mogą – bezpośrednio albo za pośrednictwem organizacji pozarządowych i podmiotów wymienionych w art. 3 ust. 3 tej ustawy – złożyć wniosek o realizację zadania publicznego. Projekt uzupełnia więc katalog podmiotów uprawnionych do pośredniczenia między mieszkańcami a jednostkami samorządu terytorialnego w zakresie występowania z inicjatywami lokalnymi, obok sołectw uwzględniając również inne jednostki pomocnicze gmin. Projekt eliminuje też niedoskonałości redakcyjne i interpunkcyjne obowiązującej regulacji.</w:t>
      </w:r>
    </w:p>
    <w:p w:rsidR="004F20B3" w:rsidRDefault="004F20B3" w:rsidP="00907FBE">
      <w:pPr>
        <w:pStyle w:val="ARTartustawynprozporzdzenia"/>
        <w:rPr>
          <w:u w:val="single"/>
        </w:rPr>
      </w:pPr>
      <w:r w:rsidRPr="00093D73">
        <w:rPr>
          <w:u w:val="single"/>
        </w:rPr>
        <w:t>Vacatio legis</w:t>
      </w:r>
    </w:p>
    <w:p w:rsidR="004F20B3" w:rsidRPr="00093D73" w:rsidRDefault="004F20B3" w:rsidP="00093D73">
      <w:pPr>
        <w:pStyle w:val="NIEARTTEKSTtekstnieartykuowanynppodstprawnarozplubpreambua"/>
      </w:pPr>
      <w:r>
        <w:t>Co do zasady przewiduje się wejście w życie ustawy w standardowym terminie 14 dni od dnia jej ogłoszenia w Dzienniku Ustaw. Niemniej – ze względu na konieczność różnorakich przygotowań do jej poprawnego funkcjonowania w przestrzeni prawnej – znaczna cześć regulacji powinna wchodzić w życie w terminach późniejszych, co dotyczy w szczególności:</w:t>
      </w:r>
    </w:p>
    <w:p w:rsidR="004F20B3" w:rsidRDefault="004F20B3" w:rsidP="00CA511B">
      <w:pPr>
        <w:pStyle w:val="PKTpunkt"/>
      </w:pPr>
      <w:r w:rsidRPr="00093D73">
        <w:t>1)</w:t>
      </w:r>
      <w:r w:rsidRPr="00093D73">
        <w:tab/>
      </w:r>
      <w:r>
        <w:t xml:space="preserve">subkont dla jednostek pomocniczych gmin, które </w:t>
      </w:r>
      <w:r w:rsidRPr="00093D73">
        <w:t xml:space="preserve">powinny </w:t>
      </w:r>
      <w:r>
        <w:t xml:space="preserve">funkcjonować </w:t>
      </w:r>
      <w:r w:rsidRPr="00093D73">
        <w:t xml:space="preserve">od początku roku budżetowego </w:t>
      </w:r>
      <w:r>
        <w:t>– a więc od 1 stycznia 2024 r. (</w:t>
      </w:r>
      <w:r w:rsidRPr="00093D73">
        <w:t>i</w:t>
      </w:r>
      <w:r>
        <w:t xml:space="preserve"> do tego czasu </w:t>
      </w:r>
      <w:r w:rsidRPr="00093D73">
        <w:t>powinno być gotowe oprzyrządowanie</w:t>
      </w:r>
      <w:r>
        <w:t xml:space="preserve"> formalne; art. 3 pkt 1 – art. 1 pkt 1, pkt 2 lit. b tiret drugie i pkt 6 projektu);</w:t>
      </w:r>
    </w:p>
    <w:p w:rsidR="004F20B3" w:rsidRDefault="004F20B3" w:rsidP="00CA511B">
      <w:pPr>
        <w:pStyle w:val="PKTpunkt"/>
      </w:pPr>
      <w:r>
        <w:t>2</w:t>
      </w:r>
      <w:r w:rsidRPr="00093D73">
        <w:t>)</w:t>
      </w:r>
      <w:r>
        <w:tab/>
        <w:t>przygotowania gmin</w:t>
      </w:r>
      <w:r w:rsidRPr="00093D73">
        <w:t xml:space="preserve"> </w:t>
      </w:r>
      <w:r>
        <w:t xml:space="preserve">do prowadzenia postępowań, a ministra właściwego do spraw rozwoju wsi i </w:t>
      </w:r>
      <w:r w:rsidRPr="00093D73">
        <w:t xml:space="preserve">KRUS </w:t>
      </w:r>
      <w:r>
        <w:t xml:space="preserve">– do </w:t>
      </w:r>
      <w:r w:rsidRPr="00093D73">
        <w:t xml:space="preserve">wypłaty </w:t>
      </w:r>
      <w:r>
        <w:t xml:space="preserve">świadczeń dla sołtysów, co powinno być możliwe od </w:t>
      </w:r>
      <w:r w:rsidRPr="00093D73">
        <w:t>początku</w:t>
      </w:r>
      <w:r>
        <w:t xml:space="preserve"> </w:t>
      </w:r>
      <w:r w:rsidRPr="009A1B86">
        <w:t>drugiego miesiąca następującego po miesiącu ogłoszenia</w:t>
      </w:r>
      <w:r>
        <w:t xml:space="preserve"> (n</w:t>
      </w:r>
      <w:r w:rsidRPr="00093D73">
        <w:t>a przygotowania</w:t>
      </w:r>
      <w:r>
        <w:br/>
      </w:r>
      <w:r w:rsidRPr="00093D73">
        <w:t xml:space="preserve">‒ zależnie od daty ogłoszenia ‒ </w:t>
      </w:r>
      <w:r>
        <w:t xml:space="preserve">byłoby więc </w:t>
      </w:r>
      <w:r w:rsidRPr="00093D73">
        <w:t>od minimum 30 do 60 dni</w:t>
      </w:r>
      <w:r>
        <w:t>; art. 3 pkt 3 – art. </w:t>
      </w:r>
      <w:r w:rsidRPr="00093D73">
        <w:t>1 pkt 3</w:t>
      </w:r>
      <w:r>
        <w:t xml:space="preserve"> projektu);</w:t>
      </w:r>
    </w:p>
    <w:p w:rsidR="004F20B3" w:rsidRPr="00093D73" w:rsidRDefault="004F20B3" w:rsidP="00CA511B">
      <w:pPr>
        <w:pStyle w:val="PKTpunkt"/>
      </w:pPr>
      <w:r>
        <w:t>3)</w:t>
      </w:r>
      <w:r>
        <w:tab/>
        <w:t xml:space="preserve">uregulowania przez gminy zasad przyznawania </w:t>
      </w:r>
      <w:r w:rsidRPr="00093D73">
        <w:t>diet lub zwrotu kosztów podróży</w:t>
      </w:r>
      <w:r>
        <w:t xml:space="preserve"> przewodniczącym organów wykonawczych jednostek pomocniczych – co również powinno obowiązywać od 1 stycznia 2024 r. (art. 3 pkt 1 – art. 1 pkt 5 projektu);</w:t>
      </w:r>
    </w:p>
    <w:p w:rsidR="004F20B3" w:rsidRDefault="004F20B3" w:rsidP="008B0312">
      <w:pPr>
        <w:pStyle w:val="PKTpunkt"/>
      </w:pPr>
      <w:r>
        <w:t>4</w:t>
      </w:r>
      <w:r w:rsidRPr="00093D73">
        <w:t>)</w:t>
      </w:r>
      <w:r w:rsidRPr="00093D73">
        <w:tab/>
      </w:r>
      <w:r>
        <w:t xml:space="preserve">uzupełnienia statutów jednostek pomocniczych o postanowienia dotyczące przesłanek ważności </w:t>
      </w:r>
      <w:r w:rsidRPr="009A1B86">
        <w:t>ogóln</w:t>
      </w:r>
      <w:r>
        <w:t>ych</w:t>
      </w:r>
      <w:r w:rsidRPr="009A1B86">
        <w:t xml:space="preserve"> zebra</w:t>
      </w:r>
      <w:r>
        <w:t>ń</w:t>
      </w:r>
      <w:r w:rsidRPr="009A1B86">
        <w:t xml:space="preserve"> mieszkańców albo zebra</w:t>
      </w:r>
      <w:r>
        <w:t>ń</w:t>
      </w:r>
      <w:r w:rsidRPr="009A1B86">
        <w:t xml:space="preserve"> wiejski</w:t>
      </w:r>
      <w:r>
        <w:t xml:space="preserve">ch – w terminie półrocznym </w:t>
      </w:r>
      <w:r w:rsidRPr="00093D73">
        <w:t>od dnia ogłoszenia</w:t>
      </w:r>
      <w:r>
        <w:t xml:space="preserve"> (art. 3 pkt 2 – </w:t>
      </w:r>
      <w:r w:rsidRPr="00093D73">
        <w:t>art. 1 pkt 2 lit. b tiret pierwsze</w:t>
      </w:r>
      <w:r>
        <w:t>).</w:t>
      </w:r>
    </w:p>
    <w:p w:rsidR="004F20B3" w:rsidRDefault="004F20B3" w:rsidP="00F811E3"/>
    <w:p w:rsidR="004F20B3" w:rsidRPr="00F32CA6" w:rsidRDefault="004F20B3" w:rsidP="00AD0D64">
      <w:pPr>
        <w:rPr>
          <w:rStyle w:val="Ppogrubienie"/>
        </w:rPr>
      </w:pPr>
      <w:r>
        <w:rPr>
          <w:rStyle w:val="Ppogrubienie"/>
        </w:rPr>
        <w:t>4</w:t>
      </w:r>
      <w:r w:rsidRPr="00F32CA6">
        <w:rPr>
          <w:rStyle w:val="Ppogrubienie"/>
        </w:rPr>
        <w:t>. Konsultacje</w:t>
      </w:r>
    </w:p>
    <w:p w:rsidR="004F20B3" w:rsidRPr="00AD4FC0" w:rsidRDefault="004F20B3" w:rsidP="00907FBE">
      <w:pPr>
        <w:pStyle w:val="NIEARTTEKSTtekstnieartykuowanynppodstprawnarozplubpreambua"/>
        <w:rPr>
          <w:rStyle w:val="Kkursywa"/>
          <w:i w:val="0"/>
        </w:rPr>
      </w:pPr>
      <w:r w:rsidRPr="00AD4FC0">
        <w:rPr>
          <w:rStyle w:val="Kkursywa"/>
          <w:i w:val="0"/>
        </w:rPr>
        <w:t>Nadesłane w ramach konsultacji opinie i uwagi są zamieszczone na senackiej stronie internetowej. Wyniki konsultacji przedstawiono w Ocenie Skutków Regulacji.</w:t>
      </w:r>
    </w:p>
    <w:p w:rsidR="004F20B3" w:rsidRPr="00AD0D64" w:rsidRDefault="004F20B3" w:rsidP="00F811E3"/>
    <w:p w:rsidR="004F20B3" w:rsidRPr="00F32CA6" w:rsidRDefault="004F20B3" w:rsidP="00AD0D64">
      <w:pPr>
        <w:rPr>
          <w:rStyle w:val="Ppogrubienie"/>
        </w:rPr>
      </w:pPr>
      <w:r>
        <w:rPr>
          <w:rStyle w:val="Ppogrubienie"/>
        </w:rPr>
        <w:t>5</w:t>
      </w:r>
      <w:r w:rsidRPr="00F32CA6">
        <w:rPr>
          <w:rStyle w:val="Ppogrubienie"/>
        </w:rPr>
        <w:t>. Oświadczenie o zgodności z prawem Unii Europejskiej</w:t>
      </w:r>
    </w:p>
    <w:p w:rsidR="004F20B3" w:rsidRPr="00AD4FC0" w:rsidRDefault="004F20B3" w:rsidP="004F579D">
      <w:pPr>
        <w:pStyle w:val="NIEARTTEKSTtekstnieartykuowanynppodstprawnarozplubpreambua"/>
        <w:rPr>
          <w:i/>
        </w:rPr>
      </w:pPr>
      <w:r w:rsidRPr="00AD4FC0">
        <w:rPr>
          <w:rStyle w:val="Kkursywa"/>
          <w:i w:val="0"/>
        </w:rPr>
        <w:t>Zakres przedmiotowy projektowanej ustawy nie jest objęty prawem Unii Europejskiej.</w:t>
      </w:r>
    </w:p>
    <w:p w:rsidR="004F20B3" w:rsidRDefault="004F20B3" w:rsidP="009168FD">
      <w:pPr>
        <w:widowControl/>
        <w:tabs>
          <w:tab w:val="center" w:pos="6237"/>
        </w:tabs>
        <w:autoSpaceDE/>
        <w:autoSpaceDN/>
        <w:adjustRightInd/>
        <w:spacing w:line="240" w:lineRule="auto"/>
        <w:ind w:right="-2"/>
        <w:rPr>
          <w:rFonts w:eastAsia="Times New Roman" w:cs="Times New Roman"/>
          <w:b/>
        </w:rPr>
      </w:pPr>
    </w:p>
    <w:p w:rsidR="001C6A72" w:rsidRDefault="001C6A72" w:rsidP="009168FD">
      <w:pPr>
        <w:widowControl/>
        <w:tabs>
          <w:tab w:val="center" w:pos="6237"/>
        </w:tabs>
        <w:autoSpaceDE/>
        <w:autoSpaceDN/>
        <w:adjustRightInd/>
        <w:spacing w:line="240" w:lineRule="auto"/>
        <w:ind w:right="-2"/>
      </w:pPr>
    </w:p>
    <w:sectPr w:rsidR="001C6A72" w:rsidSect="004F20B3">
      <w:headerReference w:type="default" r:id="rId7"/>
      <w:pgSz w:w="11906" w:h="16838"/>
      <w:pgMar w:top="1560" w:right="1434" w:bottom="1560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D7" w:rsidRDefault="002D0AD7">
      <w:r>
        <w:separator/>
      </w:r>
    </w:p>
  </w:endnote>
  <w:endnote w:type="continuationSeparator" w:id="0">
    <w:p w:rsidR="002D0AD7" w:rsidRDefault="002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D7" w:rsidRDefault="002D0AD7">
      <w:r>
        <w:separator/>
      </w:r>
    </w:p>
  </w:footnote>
  <w:footnote w:type="continuationSeparator" w:id="0">
    <w:p w:rsidR="002D0AD7" w:rsidRDefault="002D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6608B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4594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FCB"/>
    <w:multiLevelType w:val="hybridMultilevel"/>
    <w:tmpl w:val="45ECF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5711CE1"/>
    <w:multiLevelType w:val="hybridMultilevel"/>
    <w:tmpl w:val="A1386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1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F0"/>
    <w:rsid w:val="000012DA"/>
    <w:rsid w:val="0000246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339C"/>
    <w:rsid w:val="0005571B"/>
    <w:rsid w:val="00057AB3"/>
    <w:rsid w:val="00060076"/>
    <w:rsid w:val="00060432"/>
    <w:rsid w:val="00060D87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E25CC"/>
    <w:rsid w:val="000E72BC"/>
    <w:rsid w:val="000F0E53"/>
    <w:rsid w:val="000F3D0D"/>
    <w:rsid w:val="000F6ED4"/>
    <w:rsid w:val="000F7A6E"/>
    <w:rsid w:val="00101307"/>
    <w:rsid w:val="001042BA"/>
    <w:rsid w:val="00106D03"/>
    <w:rsid w:val="00110465"/>
    <w:rsid w:val="00110628"/>
    <w:rsid w:val="0011245A"/>
    <w:rsid w:val="0011493E"/>
    <w:rsid w:val="00115B72"/>
    <w:rsid w:val="00120A9E"/>
    <w:rsid w:val="00120DE0"/>
    <w:rsid w:val="00125A9C"/>
    <w:rsid w:val="00134CA0"/>
    <w:rsid w:val="0014026F"/>
    <w:rsid w:val="00153A3B"/>
    <w:rsid w:val="0015742A"/>
    <w:rsid w:val="00164C57"/>
    <w:rsid w:val="00164C9D"/>
    <w:rsid w:val="00172F7A"/>
    <w:rsid w:val="00173150"/>
    <w:rsid w:val="00173BB3"/>
    <w:rsid w:val="001740D0"/>
    <w:rsid w:val="00174F2C"/>
    <w:rsid w:val="00180F2A"/>
    <w:rsid w:val="00186E4C"/>
    <w:rsid w:val="00186EC1"/>
    <w:rsid w:val="00191E1F"/>
    <w:rsid w:val="00197649"/>
    <w:rsid w:val="001A10E9"/>
    <w:rsid w:val="001A183D"/>
    <w:rsid w:val="001A3CD3"/>
    <w:rsid w:val="001A49FB"/>
    <w:rsid w:val="001A5BEF"/>
    <w:rsid w:val="001A7F15"/>
    <w:rsid w:val="001B342E"/>
    <w:rsid w:val="001C1832"/>
    <w:rsid w:val="001C188C"/>
    <w:rsid w:val="001C6A72"/>
    <w:rsid w:val="001D1783"/>
    <w:rsid w:val="001D55A3"/>
    <w:rsid w:val="001E4E0C"/>
    <w:rsid w:val="001E526D"/>
    <w:rsid w:val="001F220F"/>
    <w:rsid w:val="001F6616"/>
    <w:rsid w:val="00202BD4"/>
    <w:rsid w:val="00204A97"/>
    <w:rsid w:val="002114EF"/>
    <w:rsid w:val="00212184"/>
    <w:rsid w:val="002166AD"/>
    <w:rsid w:val="00217871"/>
    <w:rsid w:val="00221ED8"/>
    <w:rsid w:val="00223FDF"/>
    <w:rsid w:val="002279C0"/>
    <w:rsid w:val="00242081"/>
    <w:rsid w:val="002501A3"/>
    <w:rsid w:val="0025166C"/>
    <w:rsid w:val="00264EC6"/>
    <w:rsid w:val="00271013"/>
    <w:rsid w:val="002765B4"/>
    <w:rsid w:val="00276A94"/>
    <w:rsid w:val="0029405D"/>
    <w:rsid w:val="00295A6F"/>
    <w:rsid w:val="002A20C4"/>
    <w:rsid w:val="002A570F"/>
    <w:rsid w:val="002A7358"/>
    <w:rsid w:val="002A7902"/>
    <w:rsid w:val="002B0F6B"/>
    <w:rsid w:val="002B23B8"/>
    <w:rsid w:val="002B68A6"/>
    <w:rsid w:val="002D0AD7"/>
    <w:rsid w:val="002E1DE3"/>
    <w:rsid w:val="002E2AB6"/>
    <w:rsid w:val="002E3F34"/>
    <w:rsid w:val="002E64FA"/>
    <w:rsid w:val="002F0A00"/>
    <w:rsid w:val="002F669F"/>
    <w:rsid w:val="0031004C"/>
    <w:rsid w:val="003113BE"/>
    <w:rsid w:val="003148FD"/>
    <w:rsid w:val="00321080"/>
    <w:rsid w:val="00325A1F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B39"/>
    <w:rsid w:val="00386785"/>
    <w:rsid w:val="00391B1A"/>
    <w:rsid w:val="00394423"/>
    <w:rsid w:val="00396942"/>
    <w:rsid w:val="00396B49"/>
    <w:rsid w:val="00396E3E"/>
    <w:rsid w:val="003A2D5E"/>
    <w:rsid w:val="003A306E"/>
    <w:rsid w:val="003A6A46"/>
    <w:rsid w:val="003A7A63"/>
    <w:rsid w:val="003B0F1D"/>
    <w:rsid w:val="003C0AD9"/>
    <w:rsid w:val="003C0ED0"/>
    <w:rsid w:val="003C35C4"/>
    <w:rsid w:val="003D31B9"/>
    <w:rsid w:val="003E2DA3"/>
    <w:rsid w:val="003F03D9"/>
    <w:rsid w:val="003F1262"/>
    <w:rsid w:val="003F2FBE"/>
    <w:rsid w:val="00401C84"/>
    <w:rsid w:val="004035BB"/>
    <w:rsid w:val="004140F2"/>
    <w:rsid w:val="00421085"/>
    <w:rsid w:val="00424DF7"/>
    <w:rsid w:val="00432B76"/>
    <w:rsid w:val="00435D26"/>
    <w:rsid w:val="00440C99"/>
    <w:rsid w:val="00445F4D"/>
    <w:rsid w:val="004504C0"/>
    <w:rsid w:val="00462946"/>
    <w:rsid w:val="00464B94"/>
    <w:rsid w:val="004653A8"/>
    <w:rsid w:val="00465A0B"/>
    <w:rsid w:val="0047077C"/>
    <w:rsid w:val="00472CD6"/>
    <w:rsid w:val="00480A58"/>
    <w:rsid w:val="00485FAD"/>
    <w:rsid w:val="00492A3F"/>
    <w:rsid w:val="00494F62"/>
    <w:rsid w:val="004B00A7"/>
    <w:rsid w:val="004B25E2"/>
    <w:rsid w:val="004B34D7"/>
    <w:rsid w:val="004B5037"/>
    <w:rsid w:val="004B5B2F"/>
    <w:rsid w:val="004B626A"/>
    <w:rsid w:val="004B6AAB"/>
    <w:rsid w:val="004C05BD"/>
    <w:rsid w:val="004C3F97"/>
    <w:rsid w:val="004D2E1F"/>
    <w:rsid w:val="004D7FD9"/>
    <w:rsid w:val="004E1324"/>
    <w:rsid w:val="004E37E5"/>
    <w:rsid w:val="004E3FDB"/>
    <w:rsid w:val="004F20B3"/>
    <w:rsid w:val="004F296D"/>
    <w:rsid w:val="004F508B"/>
    <w:rsid w:val="004F695F"/>
    <w:rsid w:val="00500752"/>
    <w:rsid w:val="00501A50"/>
    <w:rsid w:val="0050222D"/>
    <w:rsid w:val="005067C5"/>
    <w:rsid w:val="0050696D"/>
    <w:rsid w:val="00511D99"/>
    <w:rsid w:val="005128D3"/>
    <w:rsid w:val="005158F2"/>
    <w:rsid w:val="00526DFC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5F33"/>
    <w:rsid w:val="00597024"/>
    <w:rsid w:val="005A669D"/>
    <w:rsid w:val="005A75D8"/>
    <w:rsid w:val="005B713E"/>
    <w:rsid w:val="005C03B6"/>
    <w:rsid w:val="005D3763"/>
    <w:rsid w:val="005D55E1"/>
    <w:rsid w:val="005E19F7"/>
    <w:rsid w:val="005E62C2"/>
    <w:rsid w:val="005F0349"/>
    <w:rsid w:val="005F2EBA"/>
    <w:rsid w:val="005F35ED"/>
    <w:rsid w:val="005F7A88"/>
    <w:rsid w:val="006046D5"/>
    <w:rsid w:val="00610C08"/>
    <w:rsid w:val="00615772"/>
    <w:rsid w:val="00621256"/>
    <w:rsid w:val="00622E4B"/>
    <w:rsid w:val="00635134"/>
    <w:rsid w:val="00642A65"/>
    <w:rsid w:val="00645DCE"/>
    <w:rsid w:val="006465AC"/>
    <w:rsid w:val="00653B22"/>
    <w:rsid w:val="00657BF4"/>
    <w:rsid w:val="006608B0"/>
    <w:rsid w:val="006623AC"/>
    <w:rsid w:val="006678AF"/>
    <w:rsid w:val="00680058"/>
    <w:rsid w:val="006840EA"/>
    <w:rsid w:val="00685267"/>
    <w:rsid w:val="006872AE"/>
    <w:rsid w:val="006946BB"/>
    <w:rsid w:val="006969FA"/>
    <w:rsid w:val="006C4A31"/>
    <w:rsid w:val="006D45B2"/>
    <w:rsid w:val="006E0FCC"/>
    <w:rsid w:val="006E5E21"/>
    <w:rsid w:val="006E6696"/>
    <w:rsid w:val="006F2648"/>
    <w:rsid w:val="006F2F10"/>
    <w:rsid w:val="006F482B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457F"/>
    <w:rsid w:val="0072621B"/>
    <w:rsid w:val="00730555"/>
    <w:rsid w:val="007312CC"/>
    <w:rsid w:val="007410B6"/>
    <w:rsid w:val="00744C6F"/>
    <w:rsid w:val="00745ABB"/>
    <w:rsid w:val="00746E38"/>
    <w:rsid w:val="00753B51"/>
    <w:rsid w:val="00757B4F"/>
    <w:rsid w:val="0076260A"/>
    <w:rsid w:val="00764A67"/>
    <w:rsid w:val="00770F6B"/>
    <w:rsid w:val="00771883"/>
    <w:rsid w:val="0077662D"/>
    <w:rsid w:val="00776DC2"/>
    <w:rsid w:val="00780122"/>
    <w:rsid w:val="0078214B"/>
    <w:rsid w:val="00792207"/>
    <w:rsid w:val="00792B64"/>
    <w:rsid w:val="00792E29"/>
    <w:rsid w:val="007A5150"/>
    <w:rsid w:val="007A5373"/>
    <w:rsid w:val="007B75BC"/>
    <w:rsid w:val="007C0BD6"/>
    <w:rsid w:val="007C3806"/>
    <w:rsid w:val="007C5BB7"/>
    <w:rsid w:val="007D1C64"/>
    <w:rsid w:val="007D32C4"/>
    <w:rsid w:val="007D6DCE"/>
    <w:rsid w:val="007E2CFE"/>
    <w:rsid w:val="007F0072"/>
    <w:rsid w:val="007F2EB6"/>
    <w:rsid w:val="007F54C3"/>
    <w:rsid w:val="00802949"/>
    <w:rsid w:val="00812BE5"/>
    <w:rsid w:val="00817429"/>
    <w:rsid w:val="00827820"/>
    <w:rsid w:val="00831B8B"/>
    <w:rsid w:val="008352D4"/>
    <w:rsid w:val="008415B0"/>
    <w:rsid w:val="00842028"/>
    <w:rsid w:val="00845941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71B5"/>
    <w:rsid w:val="008A5D26"/>
    <w:rsid w:val="008A6B13"/>
    <w:rsid w:val="008B3859"/>
    <w:rsid w:val="008B4E49"/>
    <w:rsid w:val="008B7B26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354A"/>
    <w:rsid w:val="0090605D"/>
    <w:rsid w:val="00912889"/>
    <w:rsid w:val="00913A42"/>
    <w:rsid w:val="009143DB"/>
    <w:rsid w:val="009168FD"/>
    <w:rsid w:val="00917CE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48BC"/>
    <w:rsid w:val="00965F88"/>
    <w:rsid w:val="00984E03"/>
    <w:rsid w:val="00987E85"/>
    <w:rsid w:val="009A0D12"/>
    <w:rsid w:val="009A1987"/>
    <w:rsid w:val="009A2BEE"/>
    <w:rsid w:val="009A5289"/>
    <w:rsid w:val="009B0402"/>
    <w:rsid w:val="009B0B75"/>
    <w:rsid w:val="009B16DF"/>
    <w:rsid w:val="009B6EF7"/>
    <w:rsid w:val="009B7000"/>
    <w:rsid w:val="009B739C"/>
    <w:rsid w:val="009C4444"/>
    <w:rsid w:val="009C7CA6"/>
    <w:rsid w:val="009D331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54F0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5936"/>
    <w:rsid w:val="00A96265"/>
    <w:rsid w:val="00A97084"/>
    <w:rsid w:val="00AA1C2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4FC0"/>
    <w:rsid w:val="00AD5422"/>
    <w:rsid w:val="00AE4425"/>
    <w:rsid w:val="00AE650F"/>
    <w:rsid w:val="00AE7D16"/>
    <w:rsid w:val="00AF4CAA"/>
    <w:rsid w:val="00AF571A"/>
    <w:rsid w:val="00B07700"/>
    <w:rsid w:val="00B1528C"/>
    <w:rsid w:val="00B21487"/>
    <w:rsid w:val="00B24DB5"/>
    <w:rsid w:val="00B31F9E"/>
    <w:rsid w:val="00B3268F"/>
    <w:rsid w:val="00B33A1A"/>
    <w:rsid w:val="00B371CC"/>
    <w:rsid w:val="00B41CD9"/>
    <w:rsid w:val="00B427E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35A4"/>
    <w:rsid w:val="00BB1E19"/>
    <w:rsid w:val="00BB21D1"/>
    <w:rsid w:val="00BB32F2"/>
    <w:rsid w:val="00BB4338"/>
    <w:rsid w:val="00BB6C0E"/>
    <w:rsid w:val="00BC52FD"/>
    <w:rsid w:val="00BC6E62"/>
    <w:rsid w:val="00BC7443"/>
    <w:rsid w:val="00BD0648"/>
    <w:rsid w:val="00BD1040"/>
    <w:rsid w:val="00BD34AA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70646"/>
    <w:rsid w:val="00C72223"/>
    <w:rsid w:val="00C76417"/>
    <w:rsid w:val="00C7726F"/>
    <w:rsid w:val="00C823DA"/>
    <w:rsid w:val="00C8259F"/>
    <w:rsid w:val="00C844AB"/>
    <w:rsid w:val="00C84C47"/>
    <w:rsid w:val="00C86AFA"/>
    <w:rsid w:val="00CB24F5"/>
    <w:rsid w:val="00CB2663"/>
    <w:rsid w:val="00CB59E9"/>
    <w:rsid w:val="00CC0D6A"/>
    <w:rsid w:val="00CC3831"/>
    <w:rsid w:val="00CD5973"/>
    <w:rsid w:val="00CD6099"/>
    <w:rsid w:val="00CE31A6"/>
    <w:rsid w:val="00CF09AA"/>
    <w:rsid w:val="00CF4813"/>
    <w:rsid w:val="00CF5233"/>
    <w:rsid w:val="00D029B8"/>
    <w:rsid w:val="00D02F60"/>
    <w:rsid w:val="00D07A7B"/>
    <w:rsid w:val="00D10E06"/>
    <w:rsid w:val="00D16820"/>
    <w:rsid w:val="00D32721"/>
    <w:rsid w:val="00D328DC"/>
    <w:rsid w:val="00D402FB"/>
    <w:rsid w:val="00D47D7A"/>
    <w:rsid w:val="00D6046A"/>
    <w:rsid w:val="00D676F3"/>
    <w:rsid w:val="00D70EF5"/>
    <w:rsid w:val="00D71A25"/>
    <w:rsid w:val="00D71FCF"/>
    <w:rsid w:val="00D72A54"/>
    <w:rsid w:val="00D72CC1"/>
    <w:rsid w:val="00D80E7D"/>
    <w:rsid w:val="00D81397"/>
    <w:rsid w:val="00D848B9"/>
    <w:rsid w:val="00D90E69"/>
    <w:rsid w:val="00D93106"/>
    <w:rsid w:val="00D933E9"/>
    <w:rsid w:val="00D94104"/>
    <w:rsid w:val="00D9505D"/>
    <w:rsid w:val="00D953D0"/>
    <w:rsid w:val="00D959F5"/>
    <w:rsid w:val="00DB1AD2"/>
    <w:rsid w:val="00DB5206"/>
    <w:rsid w:val="00DB6276"/>
    <w:rsid w:val="00DB63F5"/>
    <w:rsid w:val="00DC1C6B"/>
    <w:rsid w:val="00DC2C2E"/>
    <w:rsid w:val="00DC4AF0"/>
    <w:rsid w:val="00DC7886"/>
    <w:rsid w:val="00DC7B1A"/>
    <w:rsid w:val="00DD0CF2"/>
    <w:rsid w:val="00DE1554"/>
    <w:rsid w:val="00DE590F"/>
    <w:rsid w:val="00DE7DC1"/>
    <w:rsid w:val="00DF7648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4A35"/>
    <w:rsid w:val="00E46308"/>
    <w:rsid w:val="00E51E17"/>
    <w:rsid w:val="00E539B0"/>
    <w:rsid w:val="00E5599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FAE"/>
    <w:rsid w:val="00E936D1"/>
    <w:rsid w:val="00E96E3F"/>
    <w:rsid w:val="00EA532E"/>
    <w:rsid w:val="00EB19ED"/>
    <w:rsid w:val="00EC4CEB"/>
    <w:rsid w:val="00ED2072"/>
    <w:rsid w:val="00ED5553"/>
    <w:rsid w:val="00ED5E36"/>
    <w:rsid w:val="00ED6961"/>
    <w:rsid w:val="00EF0B96"/>
    <w:rsid w:val="00EF47AF"/>
    <w:rsid w:val="00F00B73"/>
    <w:rsid w:val="00F115CA"/>
    <w:rsid w:val="00F1510F"/>
    <w:rsid w:val="00F15E5A"/>
    <w:rsid w:val="00F17F0A"/>
    <w:rsid w:val="00F2668F"/>
    <w:rsid w:val="00F340B2"/>
    <w:rsid w:val="00F43390"/>
    <w:rsid w:val="00F50237"/>
    <w:rsid w:val="00F53596"/>
    <w:rsid w:val="00F55BA8"/>
    <w:rsid w:val="00F56ACA"/>
    <w:rsid w:val="00F600FE"/>
    <w:rsid w:val="00F62E4D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42981-4129-4583-868A-719EB8B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4F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3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6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4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5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8971B5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28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6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19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8971B5"/>
    <w:pPr>
      <w:ind w:left="510" w:firstLine="0"/>
    </w:pPr>
  </w:style>
  <w:style w:type="paragraph" w:styleId="Akapitzlist">
    <w:name w:val="List Paragraph"/>
    <w:basedOn w:val="Normalny"/>
    <w:uiPriority w:val="99"/>
    <w:semiHidden/>
    <w:rsid w:val="00C70646"/>
    <w:pPr>
      <w:ind w:left="720"/>
      <w:contextualSpacing/>
    </w:pPr>
  </w:style>
  <w:style w:type="character" w:customStyle="1" w:styleId="IGindeksgrny">
    <w:name w:val="_IG_ – indeks górny"/>
    <w:basedOn w:val="Domylnaczcionkaakapitu"/>
    <w:uiPriority w:val="2"/>
    <w:qFormat/>
    <w:rsid w:val="00120D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20DE0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20DE0"/>
    <w:rPr>
      <w:bCs/>
    </w:rPr>
  </w:style>
  <w:style w:type="character" w:customStyle="1" w:styleId="Kkursywa">
    <w:name w:val="_K_ – kursywa"/>
    <w:basedOn w:val="Domylnaczcionkaakapitu"/>
    <w:uiPriority w:val="1"/>
    <w:qFormat/>
    <w:rsid w:val="00120DE0"/>
    <w:rPr>
      <w:i/>
    </w:rPr>
  </w:style>
  <w:style w:type="character" w:styleId="Uwydatnienie">
    <w:name w:val="Emphasis"/>
    <w:basedOn w:val="Domylnaczcionkaakapitu"/>
    <w:uiPriority w:val="20"/>
    <w:qFormat/>
    <w:rsid w:val="004F2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zablony\wniesienie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wniesienie.dotm</Template>
  <TotalTime>0</TotalTime>
  <Pages>2</Pages>
  <Words>2139</Words>
  <Characters>12834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projektu aktu prawnego</vt:lpstr>
      <vt:lpstr>p r o j e k t</vt:lpstr>
    </vt:vector>
  </TitlesOfParts>
  <Company>Kancelaria Senatu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Justyna Mazur</dc:creator>
  <cp:lastModifiedBy>Marta Rakowicz</cp:lastModifiedBy>
  <cp:revision>2</cp:revision>
  <cp:lastPrinted>2023-03-31T09:23:00Z</cp:lastPrinted>
  <dcterms:created xsi:type="dcterms:W3CDTF">2023-04-14T09:08:00Z</dcterms:created>
  <dcterms:modified xsi:type="dcterms:W3CDTF">2023-04-14T09:08:00Z</dcterms:modified>
</cp:coreProperties>
</file>