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A9" w:rsidRPr="003A48A9" w:rsidRDefault="003A48A9" w:rsidP="003A48A9">
      <w:pPr>
        <w:jc w:val="center"/>
        <w:rPr>
          <w:b/>
        </w:rPr>
      </w:pPr>
      <w:r w:rsidRPr="003A48A9">
        <w:rPr>
          <w:b/>
          <w:sz w:val="24"/>
          <w:szCs w:val="24"/>
        </w:rPr>
        <w:t>Stanowisko Komisji Mieszkaniowej dot. proponowanych zmian do regulaminu programu priorytetowego „Ciepłe mieszkanie”</w:t>
      </w:r>
    </w:p>
    <w:p w:rsidR="003A48A9" w:rsidRPr="003A48A9" w:rsidRDefault="003A48A9" w:rsidP="003A48A9">
      <w:r w:rsidRPr="003A48A9">
        <w:rPr>
          <w:sz w:val="24"/>
          <w:szCs w:val="24"/>
        </w:rPr>
        <w:t> </w:t>
      </w:r>
    </w:p>
    <w:p w:rsidR="003A48A9" w:rsidRPr="003A48A9" w:rsidRDefault="003A48A9" w:rsidP="003A48A9">
      <w:r w:rsidRPr="003A48A9">
        <w:rPr>
          <w:b/>
          <w:bCs/>
          <w:sz w:val="24"/>
          <w:szCs w:val="24"/>
        </w:rPr>
        <w:t>Dot. pkt 1 – Rozszerzenie grona beneficjentów końcowych:</w:t>
      </w:r>
      <w:r w:rsidRPr="003A48A9">
        <w:rPr>
          <w:rStyle w:val="apple-converted-space"/>
          <w:b/>
          <w:bCs/>
          <w:sz w:val="24"/>
          <w:szCs w:val="24"/>
        </w:rPr>
        <w:t> </w:t>
      </w:r>
    </w:p>
    <w:p w:rsidR="003A48A9" w:rsidRPr="003A48A9" w:rsidRDefault="003A48A9" w:rsidP="003A48A9">
      <w:r w:rsidRPr="003A48A9">
        <w:rPr>
          <w:sz w:val="24"/>
          <w:szCs w:val="24"/>
        </w:rPr>
        <w:t>Stoimy na stanowisku, że należy rozszerzyć krąg beneficjentów programu Ciepłe Mieszkanie o podmioty takie jak Gminy, TBS oraz najemców lokali (tytuł prawny do lokalu) po uzyskaniu zgody właściciela lokalu.</w:t>
      </w:r>
    </w:p>
    <w:p w:rsidR="003A48A9" w:rsidRPr="003A48A9" w:rsidRDefault="003A48A9" w:rsidP="003A48A9">
      <w:r w:rsidRPr="003A48A9">
        <w:rPr>
          <w:sz w:val="24"/>
          <w:szCs w:val="24"/>
        </w:rPr>
        <w:t xml:space="preserve">Zwracamy jednak uwagę na konieczność przeprowadzenia konsultacji prawnej czy powyższy postulat dotyczący najemców nie pozostaje w kolizji z obowiązującymi przepisami, gdyż zgodnie z art. 6a par. 3 pkt. 3 ppkt.3 lit. b ustawy z dnia 21 czerwca 2001 r. o ochronie praw lokatorów, mieszkaniowym zasobie gminy i o zmianie kodeksu cywilnego Dz.U.2023.725 </w:t>
      </w:r>
      <w:proofErr w:type="spellStart"/>
      <w:r w:rsidRPr="003A48A9">
        <w:rPr>
          <w:sz w:val="24"/>
          <w:szCs w:val="24"/>
        </w:rPr>
        <w:t>t.j</w:t>
      </w:r>
      <w:proofErr w:type="spellEnd"/>
      <w:r w:rsidRPr="003A48A9">
        <w:rPr>
          <w:sz w:val="24"/>
          <w:szCs w:val="24"/>
        </w:rPr>
        <w:t>. z dnia 2023.04.18.</w:t>
      </w:r>
      <w:r w:rsidRPr="003A48A9">
        <w:rPr>
          <w:rStyle w:val="apple-converted-space"/>
          <w:sz w:val="24"/>
          <w:szCs w:val="24"/>
        </w:rPr>
        <w:t> </w:t>
      </w:r>
    </w:p>
    <w:p w:rsidR="003A48A9" w:rsidRPr="003A48A9" w:rsidRDefault="003A48A9" w:rsidP="003A48A9">
      <w:r w:rsidRPr="003A48A9">
        <w:rPr>
          <w:sz w:val="24"/>
          <w:szCs w:val="24"/>
        </w:rPr>
        <w:t>„3. Do obowiązków wynajmującego należy w szczególności:</w:t>
      </w:r>
    </w:p>
    <w:p w:rsidR="003A48A9" w:rsidRPr="003A48A9" w:rsidRDefault="003A48A9" w:rsidP="003A48A9">
      <w:r w:rsidRPr="003A48A9">
        <w:rPr>
          <w:sz w:val="24"/>
          <w:szCs w:val="24"/>
        </w:rPr>
        <w:t>1) utrzymanie w należytym stanie, porządku i czystości pomieszczeń i urządzeń budynku, służących do wspólnego użytku mieszkańców, oraz jego otoczenia;</w:t>
      </w:r>
    </w:p>
    <w:p w:rsidR="003A48A9" w:rsidRPr="003A48A9" w:rsidRDefault="003A48A9" w:rsidP="003A48A9">
      <w:r w:rsidRPr="003A48A9">
        <w:rPr>
          <w:sz w:val="24"/>
          <w:szCs w:val="24"/>
        </w:rPr>
        <w:t>2) dokonywanie napraw budynku, jego pomieszczeń i urządzeń, o których mowa w pkt 1, oraz przywrócenie poprzedniego stanu budynku uszkodzonego, niezależnie od przyczyn, z tym, że najemcę obciąża obowiązek pokrycia strat powstałych z jego winy;</w:t>
      </w:r>
    </w:p>
    <w:p w:rsidR="003A48A9" w:rsidRPr="003A48A9" w:rsidRDefault="003A48A9" w:rsidP="003A48A9">
      <w:r w:rsidRPr="003A48A9">
        <w:rPr>
          <w:sz w:val="24"/>
          <w:szCs w:val="24"/>
        </w:rPr>
        <w:t>3) dokonywanie napraw lokalu, napraw lub wymiany instalacji i elementów wyposażenia technicznego w zakresie nieobciążającym najemcy, a zwłaszcza:</w:t>
      </w:r>
    </w:p>
    <w:p w:rsidR="003A48A9" w:rsidRPr="003A48A9" w:rsidRDefault="003A48A9" w:rsidP="003A48A9">
      <w:r w:rsidRPr="003A48A9">
        <w:rPr>
          <w:sz w:val="24"/>
          <w:szCs w:val="24"/>
        </w:rPr>
        <w:t>a) napraw i wymiany wewnętrznych instalacji: wodociągowej, gazowej i ciepłej wody - bez armatury i wyposażenia, a także napraw i wymiany wewnętrznej instalacji kanalizacyjnej, centralnego ogrzewania wraz z grzejnikami, instalacji elektrycznej, anteny zbiorczej - z wyjątkiem osprzętu,</w:t>
      </w:r>
    </w:p>
    <w:p w:rsidR="003A48A9" w:rsidRPr="003A48A9" w:rsidRDefault="003A48A9" w:rsidP="003A48A9">
      <w:r w:rsidRPr="003A48A9">
        <w:rPr>
          <w:sz w:val="24"/>
          <w:szCs w:val="24"/>
        </w:rPr>
        <w:t>b)</w:t>
      </w:r>
      <w:r w:rsidRPr="003A48A9">
        <w:rPr>
          <w:rStyle w:val="apple-converted-space"/>
          <w:sz w:val="24"/>
          <w:szCs w:val="24"/>
        </w:rPr>
        <w:t> </w:t>
      </w:r>
      <w:r w:rsidRPr="003A48A9">
        <w:rPr>
          <w:b/>
          <w:bCs/>
          <w:sz w:val="24"/>
          <w:szCs w:val="24"/>
        </w:rPr>
        <w:t>wymiany pieców grzewczych, stolarki okiennej i drzwiowej oraz podłóg, posadzek i wykładzin podłogowych, a także tynków.</w:t>
      </w:r>
    </w:p>
    <w:p w:rsidR="003A48A9" w:rsidRPr="003A48A9" w:rsidRDefault="003A48A9" w:rsidP="003A48A9">
      <w:r w:rsidRPr="003A48A9">
        <w:rPr>
          <w:sz w:val="24"/>
          <w:szCs w:val="24"/>
        </w:rPr>
        <w:t> </w:t>
      </w:r>
    </w:p>
    <w:p w:rsidR="002A41EF" w:rsidRPr="002A41EF" w:rsidRDefault="003A48A9" w:rsidP="002A41EF">
      <w:pPr>
        <w:rPr>
          <w:sz w:val="24"/>
          <w:szCs w:val="24"/>
        </w:rPr>
      </w:pPr>
      <w:r w:rsidRPr="003A48A9">
        <w:rPr>
          <w:sz w:val="24"/>
          <w:szCs w:val="24"/>
        </w:rPr>
        <w:t>Niemniej rozszerzenie kręgu beneficjentów skutkowałoby zdecydowaną poprawą jakości infrastruktury lokalowej oraz poprawą warunków środowiskowych</w:t>
      </w:r>
      <w:r w:rsidR="002A41EF" w:rsidRPr="002A41EF">
        <w:rPr>
          <w:sz w:val="24"/>
          <w:szCs w:val="24"/>
        </w:rPr>
        <w:t>, a także pozwoliło wdrażać gminom program zgodnie z obowiązującymi przepisami.</w:t>
      </w:r>
    </w:p>
    <w:p w:rsidR="002A41EF" w:rsidRPr="002A41EF" w:rsidRDefault="002A41EF" w:rsidP="002A41E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A41EF">
        <w:rPr>
          <w:sz w:val="24"/>
          <w:szCs w:val="24"/>
        </w:rPr>
        <w:t xml:space="preserve">Na dzień dzisiejszy większość Gmin wstrzymuje się z uruchomieniem naboru lub przyjmuje program Ciepłe Mieszkanie wraz z regulaminem udzielania dofinansowania w formie zarządzenia burmistrza. Poprawnym jednak jest, aby zgodnie z kompetencjami Rady Miasta, uruchomienie programu przez gminy odbywało się w formie uchwały. Istnieje jednak konflikt prawny, przez który RIO unieważnia uchwały Gmin zastrzegając, iż „(…) realizacja przez Miasto programu Narodowego Funduszu Ochrony Środowiska i Gospodarki Wodnej, której celem jest wykonanie konkretnego zadania z zakresu ochrony środowiska, nie może prowadzić do naruszeń przepisów prawa. Kolegium Izby dostrzega, że niewątpliwe osoby fizyczne, o których mowa w Regulaminie zaliczają się do kategorii osób fizycznych z art. 403 ust. 4 pkt 1) lit. a) ustawy Prawo ochrony środowiska, jednakże naruszenie polega na tym, że osoby fizyczne, które nie spełniają warunków określonych w Regulaminie zostały pozbawione możliwości ubiegania się o dotację. (…) Konkludując Kolegium Izby stwierdziło, że postanowienia Regulaminu dotyczące kręgu podmiotów mogących ubiegać się o dotację celową w sposób istotny naruszają art. 403 ust. 4 i ust. 5 ustawy Prawo ochrony środowiska, z uwagi na nieuprawnione zawężenie kategorii osób fizycznych mogących ubiegać się o dotację” – Uchwała nr 31/78/2022 Kolegium Regionalnej Izby Obrachunkowej w Łodzi z dnia 5 października 2022 r. </w:t>
      </w:r>
    </w:p>
    <w:p w:rsidR="002A41EF" w:rsidRPr="002A41EF" w:rsidRDefault="002A41EF" w:rsidP="002A41EF">
      <w:pPr>
        <w:rPr>
          <w:sz w:val="24"/>
          <w:szCs w:val="24"/>
        </w:rPr>
      </w:pPr>
      <w:r w:rsidRPr="002A41EF">
        <w:rPr>
          <w:sz w:val="24"/>
          <w:szCs w:val="24"/>
        </w:rPr>
        <w:lastRenderedPageBreak/>
        <w:t xml:space="preserve">Jednocześnie Wyroki Sądów wskazują, że „treść normy art. 403 ust. 5 w zw. z ust. 4 pkt 1 lit a pr. o. ś. nie jest tak oczywista, o czym świadczy aktualne orzecznictwo sądów administracyjnych. Na tle tego przepisu w judykaturze – rozpoznającej dofinansowania celowe w ramach różnych programów „celowych” – zauważalna jest (…) rozbieżność stanowisk co do jego interpretacji. Choć trzeba przyznać, że </w:t>
      </w:r>
      <w:proofErr w:type="spellStart"/>
      <w:r w:rsidRPr="002A41EF">
        <w:rPr>
          <w:sz w:val="24"/>
          <w:szCs w:val="24"/>
        </w:rPr>
        <w:t>judykaty</w:t>
      </w:r>
      <w:proofErr w:type="spellEnd"/>
      <w:r w:rsidRPr="002A41EF">
        <w:rPr>
          <w:sz w:val="24"/>
          <w:szCs w:val="24"/>
        </w:rPr>
        <w:t xml:space="preserve"> te nie przedstawiają prawnej argumentacji za przyjętymi poglądami, a granica między tymi poglądami często jest bardzo cienka” – Wyrok WSA w Łodzi z 20.04.2023 r., I SA/</w:t>
      </w:r>
      <w:proofErr w:type="spellStart"/>
      <w:r w:rsidRPr="002A41EF">
        <w:rPr>
          <w:sz w:val="24"/>
          <w:szCs w:val="24"/>
        </w:rPr>
        <w:t>Łd</w:t>
      </w:r>
      <w:proofErr w:type="spellEnd"/>
      <w:r w:rsidRPr="002A41EF">
        <w:rPr>
          <w:sz w:val="24"/>
          <w:szCs w:val="24"/>
        </w:rPr>
        <w:t xml:space="preserve"> 260/23, LEX nr 3553550.</w:t>
      </w:r>
    </w:p>
    <w:p w:rsidR="002A41EF" w:rsidRPr="002A41EF" w:rsidRDefault="002A41EF" w:rsidP="002A41EF">
      <w:pPr>
        <w:rPr>
          <w:sz w:val="24"/>
          <w:szCs w:val="24"/>
        </w:rPr>
      </w:pPr>
      <w:r w:rsidRPr="002A41EF">
        <w:rPr>
          <w:sz w:val="24"/>
          <w:szCs w:val="24"/>
        </w:rPr>
        <w:t>Mając na uwadze powyższe, rozszerzenie kręgu beneficjentów doprowadzi do sytuacji, w której wdrażanie Programu Ciepłe Mieszkanie przez gminy rozwiąże spór co do interpretacji obowiązujących przepisów prawa w tym zakresie i pozwoli na swobodne działanie gmin w obrębie regulaminu programu.  </w:t>
      </w:r>
    </w:p>
    <w:p w:rsidR="002A41EF" w:rsidRPr="002A41EF" w:rsidRDefault="002A41EF" w:rsidP="003A48A9">
      <w:pPr>
        <w:rPr>
          <w:sz w:val="24"/>
          <w:szCs w:val="24"/>
        </w:rPr>
      </w:pPr>
    </w:p>
    <w:p w:rsidR="003A48A9" w:rsidRPr="003A48A9" w:rsidRDefault="003A48A9" w:rsidP="003A48A9">
      <w:r w:rsidRPr="003A48A9">
        <w:rPr>
          <w:sz w:val="24"/>
          <w:szCs w:val="24"/>
        </w:rPr>
        <w:t> </w:t>
      </w:r>
    </w:p>
    <w:p w:rsidR="003A48A9" w:rsidRPr="003A48A9" w:rsidRDefault="003A48A9" w:rsidP="003A48A9">
      <w:r w:rsidRPr="003A48A9">
        <w:rPr>
          <w:b/>
          <w:bCs/>
          <w:sz w:val="24"/>
          <w:szCs w:val="24"/>
        </w:rPr>
        <w:t>Dot. pkt 2 – Rodzaje przedsięwzięć objętych dofinansowaniem:</w:t>
      </w:r>
    </w:p>
    <w:p w:rsidR="003A48A9" w:rsidRPr="003A48A9" w:rsidRDefault="003A48A9" w:rsidP="003A48A9">
      <w:r w:rsidRPr="003A48A9">
        <w:rPr>
          <w:sz w:val="24"/>
          <w:szCs w:val="24"/>
        </w:rPr>
        <w:t>Stoimy na stanowisku, że dodanie możliwości wymiany stolarki okiennej i drzwiowej bez konieczności wymiany sposobu ogrzewania (ale przy posiadaniu ogrzewania ekologicznego) jest zasadne, szczególnie biorąc pod uwagę ujednolicenie zasad z programem „Czyste Powietrze”. Obecne wykluczenie osób, które wcześniej wymieniły źródło ogrzewania na ekologiczne jest w stosunku do nich krzywdzące.</w:t>
      </w:r>
    </w:p>
    <w:p w:rsidR="003A48A9" w:rsidRPr="003A48A9" w:rsidRDefault="003A48A9" w:rsidP="003A48A9">
      <w:r w:rsidRPr="003A48A9">
        <w:rPr>
          <w:sz w:val="24"/>
          <w:szCs w:val="24"/>
        </w:rPr>
        <w:t> </w:t>
      </w:r>
    </w:p>
    <w:p w:rsidR="003A48A9" w:rsidRPr="003A48A9" w:rsidRDefault="003A48A9" w:rsidP="003A48A9">
      <w:r w:rsidRPr="003A48A9">
        <w:rPr>
          <w:b/>
          <w:bCs/>
          <w:sz w:val="24"/>
          <w:szCs w:val="24"/>
        </w:rPr>
        <w:t>Dot. pkt 3 – Uniezależnienie wysokości kwoty dofinansowania od dochodu wnioskodawcy lub przeciętnego miesięcznego dochodu na członka jego gospodarstwa domowego:</w:t>
      </w:r>
    </w:p>
    <w:p w:rsidR="003A48A9" w:rsidRPr="003A48A9" w:rsidRDefault="003A48A9" w:rsidP="003A48A9">
      <w:r w:rsidRPr="003A48A9">
        <w:rPr>
          <w:sz w:val="24"/>
          <w:szCs w:val="24"/>
        </w:rPr>
        <w:t>Stoimy na stanowisku, że</w:t>
      </w:r>
      <w:r w:rsidRPr="003A48A9">
        <w:rPr>
          <w:rStyle w:val="apple-converted-space"/>
          <w:sz w:val="24"/>
          <w:szCs w:val="24"/>
        </w:rPr>
        <w:t> </w:t>
      </w:r>
      <w:r w:rsidRPr="003A48A9">
        <w:rPr>
          <w:sz w:val="24"/>
          <w:szCs w:val="24"/>
        </w:rPr>
        <w:t>kryterium dochodowe powinno zostać utrzymane, jednak powinno zostać zrównane z progami dochodowymi w programie Czyste Powietrze. Program Ciepłe Mieszkanie powinien wspierać przede wszystkim osoby mniej zamożne. Jednak z racji zwiększającej się płacy minimalnej progi powinny być okresowo zwiększane w oparciu o dane GUS.</w:t>
      </w:r>
    </w:p>
    <w:p w:rsidR="003A48A9" w:rsidRPr="003A48A9" w:rsidRDefault="003A48A9" w:rsidP="003A48A9">
      <w:r w:rsidRPr="003A48A9">
        <w:t> </w:t>
      </w:r>
    </w:p>
    <w:p w:rsidR="004F27DC" w:rsidRDefault="004F27DC"/>
    <w:p w:rsidR="002A41EF" w:rsidRPr="002A41EF" w:rsidRDefault="002A41EF" w:rsidP="002A41EF">
      <w:pPr>
        <w:ind w:left="4248" w:firstLine="708"/>
        <w:jc w:val="center"/>
        <w:rPr>
          <w:sz w:val="24"/>
          <w:szCs w:val="24"/>
          <w:lang w:eastAsia="en-US"/>
        </w:rPr>
      </w:pPr>
      <w:r w:rsidRPr="002A41EF">
        <w:rPr>
          <w:sz w:val="24"/>
          <w:szCs w:val="24"/>
          <w:lang w:eastAsia="en-US"/>
        </w:rPr>
        <w:t xml:space="preserve">Marcin Skwierawski </w:t>
      </w:r>
    </w:p>
    <w:p w:rsidR="002A41EF" w:rsidRPr="002A41EF" w:rsidRDefault="002A41EF" w:rsidP="002A41EF">
      <w:pPr>
        <w:ind w:left="4248" w:firstLine="708"/>
        <w:jc w:val="center"/>
        <w:rPr>
          <w:sz w:val="24"/>
          <w:szCs w:val="24"/>
        </w:rPr>
      </w:pPr>
      <w:r w:rsidRPr="002A41EF">
        <w:rPr>
          <w:sz w:val="24"/>
          <w:szCs w:val="24"/>
        </w:rPr>
        <w:t>Przewodniczący Komisji Mieszkaniowej</w:t>
      </w:r>
    </w:p>
    <w:p w:rsidR="002A41EF" w:rsidRPr="002A41EF" w:rsidRDefault="002A41EF" w:rsidP="002A41EF">
      <w:pPr>
        <w:ind w:left="4248" w:firstLine="708"/>
        <w:jc w:val="center"/>
        <w:rPr>
          <w:sz w:val="24"/>
          <w:szCs w:val="24"/>
        </w:rPr>
      </w:pPr>
      <w:bookmarkStart w:id="0" w:name="_GoBack"/>
      <w:bookmarkEnd w:id="0"/>
      <w:r w:rsidRPr="002A41EF">
        <w:rPr>
          <w:sz w:val="24"/>
          <w:szCs w:val="24"/>
        </w:rPr>
        <w:t>Związku Miast Polskich</w:t>
      </w:r>
    </w:p>
    <w:sectPr w:rsidR="002A41EF" w:rsidRPr="002A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A9"/>
    <w:rsid w:val="002A41EF"/>
    <w:rsid w:val="003A48A9"/>
    <w:rsid w:val="004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6E3E"/>
  <w15:chartTrackingRefBased/>
  <w15:docId w15:val="{77A958AF-5756-4914-83FA-75FD3BBD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8A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Ziółkowska</dc:creator>
  <cp:keywords/>
  <dc:description/>
  <cp:lastModifiedBy>Ewa Ziółkowska</cp:lastModifiedBy>
  <cp:revision>2</cp:revision>
  <dcterms:created xsi:type="dcterms:W3CDTF">2023-07-13T05:30:00Z</dcterms:created>
  <dcterms:modified xsi:type="dcterms:W3CDTF">2023-07-13T05:36:00Z</dcterms:modified>
</cp:coreProperties>
</file>