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2CF" w:rsidRPr="00075175" w:rsidRDefault="001A12CF">
      <w:pPr>
        <w:spacing w:after="200" w:line="276" w:lineRule="auto"/>
        <w:jc w:val="left"/>
        <w:rPr>
          <w:rFonts w:asciiTheme="minorHAnsi" w:hAnsiTheme="minorHAnsi"/>
          <w:sz w:val="24"/>
          <w:szCs w:val="24"/>
        </w:rPr>
      </w:pPr>
    </w:p>
    <w:p w:rsidR="00C60611" w:rsidRPr="00075175" w:rsidRDefault="00C60611" w:rsidP="00C60611">
      <w:pPr>
        <w:pStyle w:val="Tytu"/>
        <w:rPr>
          <w:rFonts w:asciiTheme="minorHAnsi" w:hAnsiTheme="minorHAnsi"/>
          <w:sz w:val="24"/>
          <w:szCs w:val="24"/>
        </w:rPr>
      </w:pPr>
      <w:r w:rsidRPr="00075175">
        <w:rPr>
          <w:rFonts w:asciiTheme="minorHAnsi" w:hAnsiTheme="minorHAnsi"/>
          <w:sz w:val="24"/>
          <w:szCs w:val="24"/>
        </w:rPr>
        <w:t>Załącznik nr 7:</w:t>
      </w:r>
    </w:p>
    <w:p w:rsidR="001A12CF" w:rsidRPr="00075175" w:rsidRDefault="001A12CF" w:rsidP="00C60611">
      <w:pPr>
        <w:pStyle w:val="Tytu"/>
        <w:rPr>
          <w:rFonts w:asciiTheme="minorHAnsi" w:hAnsiTheme="minorHAnsi"/>
          <w:sz w:val="24"/>
          <w:szCs w:val="24"/>
        </w:rPr>
      </w:pPr>
      <w:r w:rsidRPr="00075175">
        <w:rPr>
          <w:rFonts w:asciiTheme="minorHAnsi" w:hAnsiTheme="minorHAnsi"/>
          <w:sz w:val="24"/>
          <w:szCs w:val="24"/>
        </w:rPr>
        <w:t xml:space="preserve">Materiał wyjściowy dla ekspertów </w:t>
      </w:r>
      <w:r w:rsidR="00010DCB" w:rsidRPr="00075175">
        <w:rPr>
          <w:rFonts w:asciiTheme="minorHAnsi" w:hAnsiTheme="minorHAnsi"/>
          <w:sz w:val="24"/>
          <w:szCs w:val="24"/>
        </w:rPr>
        <w:t>–</w:t>
      </w:r>
      <w:r w:rsidRPr="00075175">
        <w:rPr>
          <w:rFonts w:asciiTheme="minorHAnsi" w:hAnsiTheme="minorHAnsi"/>
          <w:sz w:val="24"/>
          <w:szCs w:val="24"/>
        </w:rPr>
        <w:t xml:space="preserve"> </w:t>
      </w:r>
      <w:r w:rsidR="00847423" w:rsidRPr="00075175">
        <w:rPr>
          <w:rFonts w:asciiTheme="minorHAnsi" w:hAnsiTheme="minorHAnsi"/>
          <w:sz w:val="24"/>
          <w:szCs w:val="24"/>
        </w:rPr>
        <w:t xml:space="preserve">8 </w:t>
      </w:r>
      <w:r w:rsidRPr="00075175">
        <w:rPr>
          <w:rFonts w:asciiTheme="minorHAnsi" w:hAnsiTheme="minorHAnsi"/>
          <w:sz w:val="24"/>
          <w:szCs w:val="24"/>
        </w:rPr>
        <w:t>obszarów do analiz (zadań)</w:t>
      </w:r>
    </w:p>
    <w:tbl>
      <w:tblPr>
        <w:tblStyle w:val="Tabela-Siatka"/>
        <w:tblW w:w="9634" w:type="dxa"/>
        <w:tblLayout w:type="fixed"/>
        <w:tblCellMar>
          <w:top w:w="57" w:type="dxa"/>
          <w:left w:w="85" w:type="dxa"/>
          <w:bottom w:w="57" w:type="dxa"/>
          <w:right w:w="85" w:type="dxa"/>
        </w:tblCellMar>
        <w:tblLook w:val="04A0"/>
      </w:tblPr>
      <w:tblGrid>
        <w:gridCol w:w="9634"/>
      </w:tblGrid>
      <w:tr w:rsidR="00847423" w:rsidRPr="00075175" w:rsidTr="00F0564F">
        <w:tc>
          <w:tcPr>
            <w:tcW w:w="9634" w:type="dxa"/>
          </w:tcPr>
          <w:p w:rsidR="00847423" w:rsidRPr="00075175" w:rsidRDefault="00847423" w:rsidP="00F0564F">
            <w:pPr>
              <w:pStyle w:val="Nagwek1"/>
              <w:spacing w:before="0" w:after="0"/>
              <w:outlineLvl w:val="0"/>
              <w:rPr>
                <w:rFonts w:asciiTheme="minorHAnsi" w:hAnsiTheme="minorHAnsi"/>
                <w:szCs w:val="24"/>
              </w:rPr>
            </w:pPr>
            <w:r w:rsidRPr="00075175">
              <w:rPr>
                <w:rFonts w:asciiTheme="minorHAnsi" w:hAnsiTheme="minorHAnsi"/>
                <w:szCs w:val="24"/>
              </w:rPr>
              <w:t>Wsparcie kadry jednostek samorządu terytorialnego w zarządzaniu oświatą ukierunkowanym na rozwój szkół i kompetencji kluczowych uczniów  (POWR.02.10.00-IP.02-00-003/15)</w:t>
            </w:r>
          </w:p>
          <w:p w:rsidR="00847423" w:rsidRPr="00075175" w:rsidRDefault="00847423" w:rsidP="00F0564F">
            <w:pPr>
              <w:pStyle w:val="Nagwek1"/>
              <w:outlineLvl w:val="0"/>
              <w:rPr>
                <w:rFonts w:asciiTheme="minorHAnsi" w:hAnsiTheme="minorHAnsi"/>
                <w:szCs w:val="24"/>
              </w:rPr>
            </w:pPr>
            <w:r w:rsidRPr="00075175">
              <w:rPr>
                <w:rFonts w:asciiTheme="minorHAnsi" w:hAnsiTheme="minorHAnsi"/>
                <w:szCs w:val="24"/>
              </w:rPr>
              <w:t xml:space="preserve">Strategiczny przegląd sytuacji w obszarze 3: </w:t>
            </w:r>
          </w:p>
          <w:p w:rsidR="00847423" w:rsidRPr="00075175" w:rsidRDefault="00847423" w:rsidP="00F0564F">
            <w:pPr>
              <w:pStyle w:val="Nagwek1"/>
              <w:spacing w:before="0"/>
              <w:outlineLvl w:val="0"/>
              <w:rPr>
                <w:rFonts w:asciiTheme="minorHAnsi" w:hAnsiTheme="minorHAnsi"/>
                <w:szCs w:val="24"/>
              </w:rPr>
            </w:pPr>
            <w:r w:rsidRPr="00075175">
              <w:rPr>
                <w:rFonts w:asciiTheme="minorHAnsi" w:hAnsiTheme="minorHAnsi"/>
                <w:szCs w:val="24"/>
              </w:rPr>
              <w:t>Organizacja zarządzania usługami edukacyjnymi i zapewnienie kompetentnej kadry na poziomie organu prowadzącego</w:t>
            </w:r>
          </w:p>
        </w:tc>
      </w:tr>
      <w:tr w:rsidR="00847423" w:rsidRPr="00075175" w:rsidTr="00F0564F">
        <w:tc>
          <w:tcPr>
            <w:tcW w:w="9634" w:type="dxa"/>
          </w:tcPr>
          <w:p w:rsidR="00847423" w:rsidRPr="00075175" w:rsidRDefault="00847423" w:rsidP="00F0564F">
            <w:pPr>
              <w:rPr>
                <w:rFonts w:asciiTheme="minorHAnsi" w:hAnsiTheme="minorHAnsi"/>
                <w:sz w:val="24"/>
                <w:szCs w:val="24"/>
              </w:rPr>
            </w:pPr>
          </w:p>
        </w:tc>
      </w:tr>
      <w:tr w:rsidR="00847423" w:rsidRPr="00075175" w:rsidTr="00F0564F">
        <w:tc>
          <w:tcPr>
            <w:tcW w:w="9634" w:type="dxa"/>
          </w:tcPr>
          <w:p w:rsidR="00847423" w:rsidRPr="00075175" w:rsidRDefault="00847423" w:rsidP="00F0564F">
            <w:pPr>
              <w:pStyle w:val="Nagwek2"/>
              <w:numPr>
                <w:ilvl w:val="0"/>
                <w:numId w:val="6"/>
              </w:numPr>
              <w:outlineLvl w:val="1"/>
              <w:rPr>
                <w:rFonts w:asciiTheme="minorHAnsi" w:hAnsiTheme="minorHAnsi"/>
                <w:sz w:val="24"/>
                <w:szCs w:val="24"/>
              </w:rPr>
            </w:pPr>
            <w:r w:rsidRPr="00075175">
              <w:rPr>
                <w:rFonts w:asciiTheme="minorHAnsi" w:hAnsiTheme="minorHAnsi"/>
                <w:sz w:val="24"/>
                <w:szCs w:val="24"/>
              </w:rPr>
              <w:t>Podstawa prawna działania samorządu w tym obszarze</w:t>
            </w:r>
          </w:p>
        </w:tc>
      </w:tr>
      <w:tr w:rsidR="00847423" w:rsidRPr="00075175" w:rsidTr="00F0564F">
        <w:tc>
          <w:tcPr>
            <w:tcW w:w="9634" w:type="dxa"/>
            <w:shd w:val="clear" w:color="auto" w:fill="D9D9D9" w:themeFill="background1" w:themeFillShade="D9"/>
          </w:tcPr>
          <w:p w:rsidR="00847423" w:rsidRPr="00075175" w:rsidRDefault="00847423" w:rsidP="00F0564F">
            <w:pPr>
              <w:rPr>
                <w:rFonts w:asciiTheme="minorHAnsi" w:hAnsiTheme="minorHAnsi"/>
                <w:i/>
                <w:sz w:val="24"/>
                <w:szCs w:val="24"/>
              </w:rPr>
            </w:pPr>
            <w:r w:rsidRPr="00075175">
              <w:rPr>
                <w:rFonts w:asciiTheme="minorHAnsi" w:hAnsiTheme="minorHAnsi"/>
                <w:i/>
                <w:sz w:val="24"/>
                <w:szCs w:val="24"/>
              </w:rPr>
              <w:t>Instrukcja: Omówienie aktualnej podstawy prawnej działania samorządu w analizowanym obszarze, w tym aktualnych regulacji i podejmowanych inicjatyw legislacyjnych (jeśli dotyczy). Jeśli w okresie realizacji zlecenia prowadzone będą prace parlamentarne nad zmianami obowiązującego prawa, ocena ich wpływu na sposób realizacji przez JST zadań oświatowych.</w:t>
            </w:r>
          </w:p>
        </w:tc>
      </w:tr>
      <w:tr w:rsidR="00847423" w:rsidRPr="00075175" w:rsidTr="00F0564F">
        <w:trPr>
          <w:trHeight w:val="2769"/>
        </w:trPr>
        <w:tc>
          <w:tcPr>
            <w:tcW w:w="9634" w:type="dxa"/>
          </w:tcPr>
          <w:p w:rsidR="00847423" w:rsidRPr="00075175" w:rsidRDefault="00847423" w:rsidP="00F0564F">
            <w:pPr>
              <w:rPr>
                <w:rFonts w:asciiTheme="minorHAnsi" w:hAnsiTheme="minorHAnsi"/>
                <w:sz w:val="24"/>
                <w:szCs w:val="24"/>
              </w:rPr>
            </w:pPr>
            <w:r w:rsidRPr="00075175">
              <w:rPr>
                <w:rFonts w:asciiTheme="minorHAnsi" w:hAnsiTheme="minorHAnsi"/>
                <w:sz w:val="24"/>
                <w:szCs w:val="24"/>
              </w:rPr>
              <w:t xml:space="preserve">Dla sprawnego zarządzania usługami edukacyjnymi jednostki samorządu terytorialnego - na podstawie art. 39 ustawy Prawo oświatowe - kształtują sieć szkół publicznych w sposób zapewniający wysoką jakość nauczania i stan adekwatny do wyzwań rozwojowych oraz rozwiązań edukacyjnych. </w:t>
            </w:r>
          </w:p>
          <w:p w:rsidR="00847423" w:rsidRPr="00075175" w:rsidRDefault="00847423" w:rsidP="00F0564F">
            <w:pPr>
              <w:rPr>
                <w:rFonts w:asciiTheme="minorHAnsi" w:hAnsiTheme="minorHAnsi"/>
                <w:sz w:val="24"/>
                <w:szCs w:val="24"/>
              </w:rPr>
            </w:pPr>
            <w:r w:rsidRPr="00075175">
              <w:rPr>
                <w:rFonts w:asciiTheme="minorHAnsi" w:hAnsiTheme="minorHAnsi"/>
                <w:sz w:val="24"/>
                <w:szCs w:val="24"/>
              </w:rPr>
              <w:t xml:space="preserve">Sieć powinna z jednej strony umożliwiać wszystkim dzieciom spełnianie obowiązku szkolnego (obowiązek bezpłatnego dowozu uczniów, jeśli odległość między domem a szkołą przekracza określone w ustawie limity), z drugiej – pozostawać w zgodzie z zasadami gospodarowania środkami publicznymi, określonymi w Ustawie o finansach publicznych „Wydatki publiczne powinny być dokonywane: 1) w sposób celowy i oszczędny, z zachowaniem zasad: a) uzyskiwania najlepszych efektów z danych nakładów, b) optymalnego doboru metod i środków służących osiągnięciu założonych celów” (UFP Art. 44 ust. 3 pkt 1). </w:t>
            </w:r>
          </w:p>
          <w:p w:rsidR="00847423" w:rsidRPr="00075175" w:rsidRDefault="00847423" w:rsidP="00F0564F">
            <w:pPr>
              <w:rPr>
                <w:rFonts w:asciiTheme="minorHAnsi" w:hAnsiTheme="minorHAnsi"/>
                <w:sz w:val="24"/>
                <w:szCs w:val="24"/>
              </w:rPr>
            </w:pPr>
            <w:r w:rsidRPr="00075175">
              <w:rPr>
                <w:rFonts w:asciiTheme="minorHAnsi" w:hAnsiTheme="minorHAnsi"/>
                <w:sz w:val="24"/>
                <w:szCs w:val="24"/>
              </w:rPr>
              <w:t xml:space="preserve">Koordynacją usług publicznych w tym edukacyjnych zajmują się z reguły urzędy gmin/miast i starostwa powiatowe. Zagadnienia dotyczące urzędu jednostki samorządowej gminy i powiatu znajdują swoją regulację ustawową odpowiednio w art. 33 ustawy o samorządzie gminnym oraz w art. 33 ustawy o samorządzie powiatowym. </w:t>
            </w:r>
          </w:p>
          <w:p w:rsidR="00847423" w:rsidRPr="00075175" w:rsidRDefault="00847423" w:rsidP="00F0564F">
            <w:pPr>
              <w:rPr>
                <w:rFonts w:asciiTheme="minorHAnsi" w:hAnsiTheme="minorHAnsi"/>
                <w:sz w:val="24"/>
                <w:szCs w:val="24"/>
              </w:rPr>
            </w:pPr>
            <w:r w:rsidRPr="00075175">
              <w:rPr>
                <w:rFonts w:asciiTheme="minorHAnsi" w:hAnsiTheme="minorHAnsi"/>
                <w:sz w:val="24"/>
                <w:szCs w:val="24"/>
              </w:rPr>
              <w:t xml:space="preserve">Można przyjąć, że urząd gminy (miasta) czy starostwo powiatowe to wyodrębniony organizacyjnie zespół ludzi i środków majątkowych, stanowiący aparat pomocniczy organów gminy/powiatu, w szczególności organu wykonawczego, jak również zabezpieczający administracyjną obsługę obywateli (R. Budzisz, Urząd gminy (miasta), (w:) M. Stahl, B. Jaworska-Dębska (red.), Encyklopedia samorządu terytorialnego, część 1 Ustrój, Warszawa 2010, s. 241). </w:t>
            </w:r>
          </w:p>
          <w:p w:rsidR="00847423" w:rsidRPr="00075175" w:rsidRDefault="00847423" w:rsidP="00F0564F">
            <w:pPr>
              <w:rPr>
                <w:rFonts w:asciiTheme="minorHAnsi" w:hAnsiTheme="minorHAnsi"/>
                <w:sz w:val="24"/>
                <w:szCs w:val="24"/>
              </w:rPr>
            </w:pPr>
            <w:r w:rsidRPr="00075175">
              <w:rPr>
                <w:rFonts w:asciiTheme="minorHAnsi" w:hAnsiTheme="minorHAnsi"/>
                <w:sz w:val="24"/>
                <w:szCs w:val="24"/>
              </w:rPr>
              <w:t xml:space="preserve">Struktura organizacyjna urzędów samorządowych nie została określona ustawowo. W powołanych przepisach ustaw samorządowych wskazano tylko pewne strukturalne elementy organizacji urzędu. Ustawy przewidują również obowiązek określenia organizacji i zasad funkcjonowania urzędu gminy/starostwa powiatowego w regulaminie organizacyjnym, nadanym </w:t>
            </w:r>
            <w:r w:rsidRPr="00075175">
              <w:rPr>
                <w:rFonts w:asciiTheme="minorHAnsi" w:hAnsiTheme="minorHAnsi"/>
                <w:sz w:val="24"/>
                <w:szCs w:val="24"/>
              </w:rPr>
              <w:lastRenderedPageBreak/>
              <w:t>w drodze zarządzenia. Prawidłowa organizacja urzędu powinna zapewnić właściwe realizowanie usług publicznych oraz ich możliwie szeroką dostępność dla członków wspólnoty samorządowej.</w:t>
            </w:r>
          </w:p>
          <w:p w:rsidR="00847423" w:rsidRPr="00075175" w:rsidRDefault="00847423" w:rsidP="00F0564F">
            <w:pPr>
              <w:rPr>
                <w:rFonts w:asciiTheme="minorHAnsi" w:hAnsiTheme="minorHAnsi"/>
                <w:sz w:val="24"/>
                <w:szCs w:val="24"/>
              </w:rPr>
            </w:pPr>
            <w:r w:rsidRPr="00075175">
              <w:rPr>
                <w:rFonts w:asciiTheme="minorHAnsi" w:hAnsiTheme="minorHAnsi"/>
                <w:sz w:val="24"/>
                <w:szCs w:val="24"/>
              </w:rPr>
              <w:t>Jak wynika z analizy regulaminów organizacyjnych, jednym z elementów struktury organizacyjnej urzędów jednostek samorządu terytorialnego średniej wielkości i dużych są zwykle wydziały edukacji funkcjonujące samodzielnie lub połączone organizacyjnie z wydziałem kultury, sportu a często też z wydziałem zdrowia. W mniejszych jednostkach samorządu, a te dominują liczebnie, są to kilkuosobowe referaty a nawet stanowiska ds. obsługi oświaty i wtedy większość zadań koncepcyjno-zarządczych spoczywa na kadrze kierowniczej urzędu.</w:t>
            </w:r>
          </w:p>
          <w:p w:rsidR="00847423" w:rsidRPr="00075175" w:rsidRDefault="00847423" w:rsidP="00F0564F">
            <w:pPr>
              <w:rPr>
                <w:rFonts w:asciiTheme="minorHAnsi" w:hAnsiTheme="minorHAnsi"/>
                <w:sz w:val="24"/>
                <w:szCs w:val="24"/>
              </w:rPr>
            </w:pPr>
            <w:r w:rsidRPr="00075175">
              <w:rPr>
                <w:rFonts w:asciiTheme="minorHAnsi" w:hAnsiTheme="minorHAnsi"/>
                <w:sz w:val="24"/>
                <w:szCs w:val="24"/>
              </w:rPr>
              <w:t xml:space="preserve">Zgodnie z art. 10b i n. ustawy o samorządzie gminnym oraz art. 6b i n. ustawy o samorządzie powiatowym, JST może zapewnić wspólną obsługę administracyjną, finansową i organizacyjną prowadzonych szkół i placówek przez „jednostkę obsługującą” - wydzieloną komórkę organizacyjną urzędu lub powołaną do tego celu odrębną jednostkę. </w:t>
            </w:r>
          </w:p>
          <w:p w:rsidR="00847423" w:rsidRPr="00075175" w:rsidRDefault="00847423" w:rsidP="00F0564F">
            <w:pPr>
              <w:rPr>
                <w:rFonts w:asciiTheme="minorHAnsi" w:hAnsiTheme="minorHAnsi"/>
                <w:sz w:val="24"/>
                <w:szCs w:val="24"/>
              </w:rPr>
            </w:pPr>
            <w:r w:rsidRPr="00075175">
              <w:rPr>
                <w:rFonts w:asciiTheme="minorHAnsi" w:hAnsiTheme="minorHAnsi"/>
                <w:sz w:val="24"/>
                <w:szCs w:val="24"/>
              </w:rPr>
              <w:t>Na podstawie uchwały organu stanowiącego, kierownik jednostki obsługującej (wcześniej ZEAS) może przejąć odpowiedzialność za gospodarkę finansową, rachunkowość i sprawozdawczość jednostki obsługiwanej, zaś wydelegowany przez niego pracownik może pełnić rolę głównego księgowego jednostki objętej wspólną obsługą. Oczywiście rozwiązanie to nie ogranicza kompetencji kierownika jednostki obsługiwanej do dysponowania środkami publicznymi, zaciągania zobowiązań oraz sporządzania planu finansowego.</w:t>
            </w:r>
          </w:p>
          <w:p w:rsidR="00847423" w:rsidRPr="00075175" w:rsidRDefault="00847423" w:rsidP="00F0564F">
            <w:pPr>
              <w:rPr>
                <w:rFonts w:asciiTheme="minorHAnsi" w:hAnsiTheme="minorHAnsi"/>
                <w:sz w:val="24"/>
                <w:szCs w:val="24"/>
              </w:rPr>
            </w:pPr>
            <w:r w:rsidRPr="00075175">
              <w:rPr>
                <w:rFonts w:asciiTheme="minorHAnsi" w:hAnsiTheme="minorHAnsi"/>
                <w:sz w:val="24"/>
                <w:szCs w:val="24"/>
              </w:rPr>
              <w:t>Dokładny zakres zadań objętych wspólną obsługą zależy od zapisów uchwały organu stanowiącego. Dotychczas ZEAS zajmowały się zwykle obsługą szkół pod względem księgowym i płacowym. Możliwe jest jednak rozszerzenie tego zakresu i uwzględnienie w nim np. zamówień publicznych, prowadzenia remontów lub obsługi informatycznej.</w:t>
            </w:r>
          </w:p>
          <w:p w:rsidR="00847423" w:rsidRPr="00075175" w:rsidRDefault="00847423" w:rsidP="00F0564F">
            <w:pPr>
              <w:rPr>
                <w:rFonts w:asciiTheme="minorHAnsi" w:hAnsiTheme="minorHAnsi"/>
                <w:sz w:val="24"/>
                <w:szCs w:val="24"/>
              </w:rPr>
            </w:pPr>
            <w:r w:rsidRPr="00075175">
              <w:rPr>
                <w:rFonts w:asciiTheme="minorHAnsi" w:hAnsiTheme="minorHAnsi"/>
                <w:sz w:val="24"/>
                <w:szCs w:val="24"/>
                <w:highlight w:val="yellow"/>
              </w:rPr>
              <w:t>[do weryfikacji / uzupełnienia]</w:t>
            </w:r>
          </w:p>
          <w:p w:rsidR="00847423" w:rsidRPr="00075175" w:rsidRDefault="00847423" w:rsidP="00F0564F">
            <w:pPr>
              <w:rPr>
                <w:rFonts w:asciiTheme="minorHAnsi" w:hAnsiTheme="minorHAnsi"/>
                <w:sz w:val="24"/>
                <w:szCs w:val="24"/>
              </w:rPr>
            </w:pPr>
          </w:p>
          <w:p w:rsidR="00847423" w:rsidRPr="00075175" w:rsidRDefault="00847423" w:rsidP="00F0564F">
            <w:pPr>
              <w:rPr>
                <w:rFonts w:asciiTheme="minorHAnsi" w:hAnsiTheme="minorHAnsi"/>
                <w:sz w:val="24"/>
                <w:szCs w:val="24"/>
              </w:rPr>
            </w:pPr>
          </w:p>
        </w:tc>
      </w:tr>
      <w:tr w:rsidR="00847423" w:rsidRPr="00075175" w:rsidTr="00F0564F">
        <w:tc>
          <w:tcPr>
            <w:tcW w:w="9634" w:type="dxa"/>
          </w:tcPr>
          <w:p w:rsidR="00847423" w:rsidRPr="00075175" w:rsidRDefault="00847423" w:rsidP="00F0564F">
            <w:pPr>
              <w:pStyle w:val="Nagwek2"/>
              <w:numPr>
                <w:ilvl w:val="0"/>
                <w:numId w:val="6"/>
              </w:numPr>
              <w:outlineLvl w:val="1"/>
              <w:rPr>
                <w:rFonts w:asciiTheme="minorHAnsi" w:hAnsiTheme="minorHAnsi"/>
                <w:sz w:val="24"/>
                <w:szCs w:val="24"/>
              </w:rPr>
            </w:pPr>
            <w:r w:rsidRPr="00075175">
              <w:rPr>
                <w:rFonts w:asciiTheme="minorHAnsi" w:hAnsiTheme="minorHAnsi"/>
                <w:sz w:val="24"/>
                <w:szCs w:val="24"/>
              </w:rPr>
              <w:lastRenderedPageBreak/>
              <w:t>Analiza ilościowa</w:t>
            </w:r>
          </w:p>
        </w:tc>
      </w:tr>
      <w:tr w:rsidR="00847423" w:rsidRPr="00075175" w:rsidTr="00F0564F">
        <w:tc>
          <w:tcPr>
            <w:tcW w:w="9634" w:type="dxa"/>
            <w:shd w:val="clear" w:color="auto" w:fill="D9D9D9" w:themeFill="background1" w:themeFillShade="D9"/>
          </w:tcPr>
          <w:p w:rsidR="00847423" w:rsidRPr="00075175" w:rsidRDefault="00847423" w:rsidP="00F0564F">
            <w:pPr>
              <w:rPr>
                <w:rFonts w:asciiTheme="minorHAnsi" w:hAnsiTheme="minorHAnsi"/>
                <w:i/>
                <w:sz w:val="24"/>
                <w:szCs w:val="24"/>
              </w:rPr>
            </w:pPr>
            <w:r w:rsidRPr="00075175">
              <w:rPr>
                <w:rFonts w:asciiTheme="minorHAnsi" w:hAnsiTheme="minorHAnsi"/>
                <w:i/>
                <w:sz w:val="24"/>
                <w:szCs w:val="24"/>
              </w:rPr>
              <w:t>Instrukcja: Analiza ilościowa zagadnień związanych z badanym obszarem: Jakie usługi / zadania są realizowane? W jakiej ilości / jakości (parametry obiektywne)? Jakim kosztem (koszty jednostkowe)? Jaka jest ich dostępność dla mieszkańców gminy / powiatu? Zaproponowanie i omówienie wskaźników kontekstowych ważnych dla interpretacji danych ilościowych.</w:t>
            </w:r>
          </w:p>
        </w:tc>
      </w:tr>
      <w:tr w:rsidR="00847423" w:rsidRPr="00075175" w:rsidTr="00F0564F">
        <w:trPr>
          <w:trHeight w:val="28"/>
        </w:trPr>
        <w:tc>
          <w:tcPr>
            <w:tcW w:w="9634" w:type="dxa"/>
          </w:tcPr>
          <w:p w:rsidR="00847423" w:rsidRPr="00075175" w:rsidRDefault="00847423" w:rsidP="00F0564F">
            <w:pPr>
              <w:rPr>
                <w:rFonts w:asciiTheme="minorHAnsi" w:hAnsiTheme="minorHAnsi"/>
                <w:sz w:val="24"/>
                <w:szCs w:val="24"/>
              </w:rPr>
            </w:pPr>
            <w:r w:rsidRPr="00075175">
              <w:rPr>
                <w:rFonts w:asciiTheme="minorHAnsi" w:hAnsiTheme="minorHAnsi"/>
                <w:sz w:val="24"/>
                <w:szCs w:val="24"/>
              </w:rPr>
              <w:t>Liczba dzieci / oddziałów / jednostek - przedszkola</w:t>
            </w:r>
          </w:p>
          <w:p w:rsidR="00847423" w:rsidRPr="00075175" w:rsidRDefault="00847423" w:rsidP="00F0564F">
            <w:pPr>
              <w:rPr>
                <w:rFonts w:asciiTheme="minorHAnsi" w:hAnsiTheme="minorHAnsi"/>
                <w:sz w:val="24"/>
                <w:szCs w:val="24"/>
              </w:rPr>
            </w:pPr>
            <w:r w:rsidRPr="00075175">
              <w:rPr>
                <w:rFonts w:asciiTheme="minorHAnsi" w:hAnsiTheme="minorHAnsi"/>
                <w:sz w:val="24"/>
                <w:szCs w:val="24"/>
              </w:rPr>
              <w:t>Liczba uczniów / oddziałów / jednostek – szkoły</w:t>
            </w:r>
          </w:p>
          <w:p w:rsidR="00847423" w:rsidRPr="00075175" w:rsidRDefault="00847423" w:rsidP="00F0564F">
            <w:pPr>
              <w:rPr>
                <w:rFonts w:asciiTheme="minorHAnsi" w:hAnsiTheme="minorHAnsi"/>
                <w:sz w:val="24"/>
                <w:szCs w:val="24"/>
              </w:rPr>
            </w:pPr>
          </w:p>
          <w:p w:rsidR="00847423" w:rsidRPr="00075175" w:rsidRDefault="00847423" w:rsidP="00F0564F">
            <w:pPr>
              <w:rPr>
                <w:rFonts w:asciiTheme="minorHAnsi" w:hAnsiTheme="minorHAnsi"/>
                <w:sz w:val="24"/>
                <w:szCs w:val="24"/>
              </w:rPr>
            </w:pPr>
            <w:r w:rsidRPr="00075175">
              <w:rPr>
                <w:rFonts w:asciiTheme="minorHAnsi" w:hAnsiTheme="minorHAnsi"/>
                <w:sz w:val="24"/>
                <w:szCs w:val="24"/>
              </w:rPr>
              <w:t>Liczba etatów w urzędzie JST przypisanych do zarządzania oświatą w relacji do liczby dzieci / uczniów w szkołach i przedszkolach</w:t>
            </w:r>
          </w:p>
          <w:p w:rsidR="00847423" w:rsidRPr="00075175" w:rsidRDefault="00847423" w:rsidP="00F0564F">
            <w:pPr>
              <w:rPr>
                <w:rFonts w:asciiTheme="minorHAnsi" w:hAnsiTheme="minorHAnsi"/>
                <w:sz w:val="24"/>
                <w:szCs w:val="24"/>
              </w:rPr>
            </w:pPr>
            <w:r w:rsidRPr="00075175">
              <w:rPr>
                <w:rFonts w:asciiTheme="minorHAnsi" w:hAnsiTheme="minorHAnsi"/>
                <w:sz w:val="24"/>
                <w:szCs w:val="24"/>
              </w:rPr>
              <w:t>Liczba etatów w oddzielnej jednostce budżetowej odpowiedzialnej za obsługę szkół / placówek oświatowych (jeśli dotyczy)</w:t>
            </w:r>
          </w:p>
          <w:p w:rsidR="00847423" w:rsidRPr="00075175" w:rsidRDefault="00847423" w:rsidP="00F0564F">
            <w:pPr>
              <w:rPr>
                <w:rFonts w:asciiTheme="minorHAnsi" w:hAnsiTheme="minorHAnsi"/>
                <w:sz w:val="24"/>
                <w:szCs w:val="24"/>
              </w:rPr>
            </w:pPr>
            <w:r w:rsidRPr="00075175">
              <w:rPr>
                <w:rFonts w:asciiTheme="minorHAnsi" w:hAnsiTheme="minorHAnsi"/>
                <w:sz w:val="24"/>
                <w:szCs w:val="24"/>
              </w:rPr>
              <w:t>Relacja łącznej liczby etatów urzędniczych w obszarze oświata do łącznej liczby pracowników urzędu i łącznej liczby dzieci / uczniów w systemie</w:t>
            </w:r>
          </w:p>
          <w:p w:rsidR="00847423" w:rsidRPr="00075175" w:rsidRDefault="00847423" w:rsidP="00F0564F">
            <w:pPr>
              <w:rPr>
                <w:rFonts w:asciiTheme="minorHAnsi" w:hAnsiTheme="minorHAnsi"/>
                <w:sz w:val="24"/>
                <w:szCs w:val="24"/>
              </w:rPr>
            </w:pPr>
            <w:r w:rsidRPr="00075175">
              <w:rPr>
                <w:rFonts w:asciiTheme="minorHAnsi" w:hAnsiTheme="minorHAnsi"/>
                <w:sz w:val="24"/>
                <w:szCs w:val="24"/>
              </w:rPr>
              <w:lastRenderedPageBreak/>
              <w:t>Wiek i wykształcenie pracowników oświatowych w urzędzie JST</w:t>
            </w:r>
          </w:p>
          <w:p w:rsidR="00847423" w:rsidRPr="00075175" w:rsidRDefault="00847423" w:rsidP="00F0564F">
            <w:pPr>
              <w:rPr>
                <w:rFonts w:asciiTheme="minorHAnsi" w:hAnsiTheme="minorHAnsi"/>
                <w:sz w:val="24"/>
                <w:szCs w:val="24"/>
              </w:rPr>
            </w:pPr>
          </w:p>
          <w:p w:rsidR="00847423" w:rsidRPr="00075175" w:rsidRDefault="00847423" w:rsidP="00F0564F">
            <w:pPr>
              <w:rPr>
                <w:rFonts w:asciiTheme="minorHAnsi" w:hAnsiTheme="minorHAnsi"/>
                <w:sz w:val="24"/>
                <w:szCs w:val="24"/>
              </w:rPr>
            </w:pPr>
            <w:r w:rsidRPr="00075175">
              <w:rPr>
                <w:rFonts w:asciiTheme="minorHAnsi" w:hAnsiTheme="minorHAnsi"/>
                <w:sz w:val="24"/>
                <w:szCs w:val="24"/>
              </w:rPr>
              <w:t>Różnica między łącznymi wydatkami na oświatę a subwencją oświatową</w:t>
            </w:r>
          </w:p>
          <w:p w:rsidR="00847423" w:rsidRPr="00075175" w:rsidRDefault="00847423" w:rsidP="00F0564F">
            <w:pPr>
              <w:rPr>
                <w:rFonts w:asciiTheme="minorHAnsi" w:hAnsiTheme="minorHAnsi"/>
                <w:sz w:val="24"/>
                <w:szCs w:val="24"/>
              </w:rPr>
            </w:pPr>
            <w:r w:rsidRPr="00075175">
              <w:rPr>
                <w:rFonts w:asciiTheme="minorHAnsi" w:hAnsiTheme="minorHAnsi"/>
                <w:sz w:val="24"/>
                <w:szCs w:val="24"/>
              </w:rPr>
              <w:t xml:space="preserve">Wydatki finansowe na oświatę z funduszy zewnętrznych (UE, krajowych) w relacji do całkowitych wydatków na zadania oświatowe i edukacyjną opiekę wychowawczą / w przeliczeniu na jednego ucznia </w:t>
            </w:r>
          </w:p>
          <w:p w:rsidR="00847423" w:rsidRPr="00075175" w:rsidRDefault="00847423" w:rsidP="00F0564F">
            <w:pPr>
              <w:rPr>
                <w:rFonts w:asciiTheme="minorHAnsi" w:hAnsiTheme="minorHAnsi"/>
                <w:sz w:val="24"/>
                <w:szCs w:val="24"/>
              </w:rPr>
            </w:pPr>
            <w:r w:rsidRPr="00075175">
              <w:rPr>
                <w:rFonts w:asciiTheme="minorHAnsi" w:hAnsiTheme="minorHAnsi"/>
                <w:sz w:val="24"/>
                <w:szCs w:val="24"/>
              </w:rPr>
              <w:t>% uczniów uczęszczających do szkół niepublicznych</w:t>
            </w:r>
          </w:p>
          <w:p w:rsidR="00847423" w:rsidRPr="00075175" w:rsidRDefault="00847423" w:rsidP="00F0564F">
            <w:pPr>
              <w:rPr>
                <w:rFonts w:asciiTheme="minorHAnsi" w:hAnsiTheme="minorHAnsi"/>
                <w:sz w:val="24"/>
                <w:szCs w:val="24"/>
              </w:rPr>
            </w:pPr>
            <w:r w:rsidRPr="00075175">
              <w:rPr>
                <w:rFonts w:asciiTheme="minorHAnsi" w:hAnsiTheme="minorHAnsi"/>
                <w:sz w:val="24"/>
                <w:szCs w:val="24"/>
              </w:rPr>
              <w:t>Wydatki na dowożenie uczniów do szkół (rozdział 80113) w przeliczeniu na 1 ucznia i w relacji do bieżących wydatków oświatowych</w:t>
            </w:r>
          </w:p>
          <w:p w:rsidR="00847423" w:rsidRPr="00075175" w:rsidRDefault="00847423" w:rsidP="00F0564F">
            <w:pPr>
              <w:rPr>
                <w:rFonts w:asciiTheme="minorHAnsi" w:hAnsiTheme="minorHAnsi"/>
                <w:sz w:val="24"/>
                <w:szCs w:val="24"/>
              </w:rPr>
            </w:pPr>
            <w:r w:rsidRPr="00075175">
              <w:rPr>
                <w:rFonts w:asciiTheme="minorHAnsi" w:hAnsiTheme="minorHAnsi"/>
                <w:sz w:val="24"/>
                <w:szCs w:val="24"/>
                <w:highlight w:val="yellow"/>
              </w:rPr>
              <w:t>[do weryfikacji / uzupełnienia]</w:t>
            </w:r>
          </w:p>
          <w:p w:rsidR="00847423" w:rsidRPr="00075175" w:rsidRDefault="00847423" w:rsidP="00F0564F">
            <w:pPr>
              <w:rPr>
                <w:rFonts w:asciiTheme="minorHAnsi" w:hAnsiTheme="minorHAnsi"/>
                <w:sz w:val="24"/>
                <w:szCs w:val="24"/>
              </w:rPr>
            </w:pPr>
          </w:p>
          <w:p w:rsidR="00847423" w:rsidRPr="00075175" w:rsidRDefault="00847423" w:rsidP="00F0564F">
            <w:pPr>
              <w:rPr>
                <w:rFonts w:asciiTheme="minorHAnsi" w:hAnsiTheme="minorHAnsi"/>
                <w:sz w:val="24"/>
                <w:szCs w:val="24"/>
              </w:rPr>
            </w:pPr>
          </w:p>
        </w:tc>
      </w:tr>
      <w:tr w:rsidR="00847423" w:rsidRPr="00075175" w:rsidTr="00F0564F">
        <w:tc>
          <w:tcPr>
            <w:tcW w:w="9634" w:type="dxa"/>
          </w:tcPr>
          <w:p w:rsidR="00847423" w:rsidRPr="00075175" w:rsidRDefault="00847423" w:rsidP="00F0564F">
            <w:pPr>
              <w:pStyle w:val="Nagwek2"/>
              <w:numPr>
                <w:ilvl w:val="0"/>
                <w:numId w:val="6"/>
              </w:numPr>
              <w:outlineLvl w:val="1"/>
              <w:rPr>
                <w:rFonts w:asciiTheme="minorHAnsi" w:hAnsiTheme="minorHAnsi"/>
                <w:sz w:val="24"/>
                <w:szCs w:val="24"/>
              </w:rPr>
            </w:pPr>
            <w:r w:rsidRPr="00075175">
              <w:rPr>
                <w:rFonts w:asciiTheme="minorHAnsi" w:hAnsiTheme="minorHAnsi"/>
                <w:sz w:val="24"/>
                <w:szCs w:val="24"/>
              </w:rPr>
              <w:lastRenderedPageBreak/>
              <w:t>Rola organu prowadzącego</w:t>
            </w:r>
          </w:p>
        </w:tc>
      </w:tr>
      <w:tr w:rsidR="00847423" w:rsidRPr="00075175" w:rsidTr="00F0564F">
        <w:tc>
          <w:tcPr>
            <w:tcW w:w="9634" w:type="dxa"/>
            <w:shd w:val="clear" w:color="auto" w:fill="D9D9D9" w:themeFill="background1" w:themeFillShade="D9"/>
          </w:tcPr>
          <w:p w:rsidR="00847423" w:rsidRPr="00075175" w:rsidRDefault="00847423" w:rsidP="00F0564F">
            <w:pPr>
              <w:rPr>
                <w:rFonts w:asciiTheme="minorHAnsi" w:hAnsiTheme="minorHAnsi"/>
                <w:i/>
                <w:sz w:val="24"/>
                <w:szCs w:val="24"/>
              </w:rPr>
            </w:pPr>
            <w:r w:rsidRPr="00075175">
              <w:rPr>
                <w:rFonts w:asciiTheme="minorHAnsi" w:hAnsiTheme="minorHAnsi"/>
                <w:i/>
                <w:sz w:val="24"/>
                <w:szCs w:val="24"/>
              </w:rPr>
              <w:t>Instrukcja: Prezentacja roli organu prowadzącego w badanym obszarze: cel, zasady i formy możliwego działania wraz z ich charakterystyką oraz przedstawieniem zróżnicowanych podejść i uwarunkowań instytucjonalnych. Wynikiem tej części analizy powinna być lista zadań / funkcji, które powinny być / mogą być realizowane przez JST w tym zakresie.</w:t>
            </w:r>
          </w:p>
        </w:tc>
      </w:tr>
      <w:tr w:rsidR="00847423" w:rsidRPr="00075175" w:rsidTr="00F0564F">
        <w:trPr>
          <w:trHeight w:val="1209"/>
        </w:trPr>
        <w:tc>
          <w:tcPr>
            <w:tcW w:w="9634" w:type="dxa"/>
          </w:tcPr>
          <w:p w:rsidR="00847423" w:rsidRPr="00075175" w:rsidRDefault="00847423" w:rsidP="00F0564F">
            <w:pPr>
              <w:rPr>
                <w:rFonts w:asciiTheme="minorHAnsi" w:hAnsiTheme="minorHAnsi"/>
                <w:sz w:val="24"/>
                <w:szCs w:val="24"/>
              </w:rPr>
            </w:pPr>
            <w:r w:rsidRPr="00075175">
              <w:rPr>
                <w:rFonts w:asciiTheme="minorHAnsi" w:hAnsiTheme="minorHAnsi"/>
                <w:sz w:val="24"/>
                <w:szCs w:val="24"/>
              </w:rPr>
              <w:t xml:space="preserve">Jednym z warunków skutecznego zarządzania usługami edukacyjnymi jest stworzenie sprawnej i efektywnie działającej struktury organizacyjnej lokalnego systemu oświaty. </w:t>
            </w:r>
          </w:p>
          <w:p w:rsidR="00847423" w:rsidRPr="00075175" w:rsidRDefault="00847423" w:rsidP="00F0564F">
            <w:pPr>
              <w:rPr>
                <w:rFonts w:asciiTheme="minorHAnsi" w:hAnsiTheme="minorHAnsi"/>
                <w:sz w:val="24"/>
                <w:szCs w:val="24"/>
              </w:rPr>
            </w:pPr>
            <w:r w:rsidRPr="00075175">
              <w:rPr>
                <w:rFonts w:asciiTheme="minorHAnsi" w:hAnsiTheme="minorHAnsi"/>
                <w:sz w:val="24"/>
                <w:szCs w:val="24"/>
              </w:rPr>
              <w:t>Podział zadań w urzędzie oraz relacje między organem prowadzącym, jednostką obsługującą szkoły (jeśli występuje) i kadrą kierowniczą tych ostatnich powinien być klarowny i odzwierciedlać przyjęte podejście do zarządzania oświatą.</w:t>
            </w:r>
          </w:p>
          <w:p w:rsidR="00847423" w:rsidRPr="00075175" w:rsidRDefault="00847423" w:rsidP="00F0564F">
            <w:pPr>
              <w:rPr>
                <w:rFonts w:asciiTheme="minorHAnsi" w:hAnsiTheme="minorHAnsi"/>
                <w:sz w:val="24"/>
                <w:szCs w:val="24"/>
              </w:rPr>
            </w:pPr>
            <w:r w:rsidRPr="00075175">
              <w:rPr>
                <w:rFonts w:asciiTheme="minorHAnsi" w:hAnsiTheme="minorHAnsi"/>
                <w:sz w:val="24"/>
                <w:szCs w:val="24"/>
              </w:rPr>
              <w:t>Szczegółowa analiza obowiązujących aktów prawnych pozwala zidentyfikować obszerną listę zadań urzędu gminy / powiatu w zakresie zarządzania lokalną oświatą . Zadania te można zestawić w kilka grup tematycznych, które opisują kluczowe funkcje urzędu w obszarze „Organizacja zarządzania usługami edukacyjnymi na poziomie JST”:</w:t>
            </w:r>
          </w:p>
          <w:p w:rsidR="00847423" w:rsidRPr="00075175" w:rsidRDefault="00847423" w:rsidP="00847423">
            <w:pPr>
              <w:numPr>
                <w:ilvl w:val="0"/>
                <w:numId w:val="11"/>
              </w:numPr>
              <w:rPr>
                <w:rFonts w:asciiTheme="minorHAnsi" w:hAnsiTheme="minorHAnsi"/>
                <w:sz w:val="24"/>
                <w:szCs w:val="24"/>
              </w:rPr>
            </w:pPr>
            <w:r w:rsidRPr="00075175">
              <w:rPr>
                <w:rFonts w:asciiTheme="minorHAnsi" w:hAnsiTheme="minorHAnsi"/>
                <w:sz w:val="24"/>
                <w:szCs w:val="24"/>
              </w:rPr>
              <w:t>Tworzenie, wdrażanie i monitorowanie lokalnej polityki oświatowej - Projekty strategii, programów i planów pracy dot. rozwoju usług edukacyjnych. Ocena efektów i przygotowywanie sprawozdań opisujących postępy w tym zakresie.</w:t>
            </w:r>
          </w:p>
          <w:p w:rsidR="00847423" w:rsidRPr="00075175" w:rsidRDefault="00847423" w:rsidP="00847423">
            <w:pPr>
              <w:numPr>
                <w:ilvl w:val="0"/>
                <w:numId w:val="11"/>
              </w:numPr>
              <w:rPr>
                <w:rFonts w:asciiTheme="minorHAnsi" w:hAnsiTheme="minorHAnsi"/>
                <w:sz w:val="24"/>
                <w:szCs w:val="24"/>
              </w:rPr>
            </w:pPr>
            <w:r w:rsidRPr="00075175">
              <w:rPr>
                <w:rFonts w:asciiTheme="minorHAnsi" w:hAnsiTheme="minorHAnsi"/>
                <w:sz w:val="24"/>
                <w:szCs w:val="24"/>
              </w:rPr>
              <w:t>Wspieranie Rady Gminy / Powiatu w procesie stanowienia lokalnego prawa w zakresie oświaty - Przygotowanie analiz i materiałów oraz projektów aktów prawnych, koordynacja wykonania podjętych uchwał</w:t>
            </w:r>
          </w:p>
          <w:p w:rsidR="00847423" w:rsidRPr="00075175" w:rsidRDefault="00847423" w:rsidP="00847423">
            <w:pPr>
              <w:numPr>
                <w:ilvl w:val="0"/>
                <w:numId w:val="11"/>
              </w:numPr>
              <w:rPr>
                <w:rFonts w:asciiTheme="minorHAnsi" w:hAnsiTheme="minorHAnsi"/>
                <w:sz w:val="24"/>
                <w:szCs w:val="24"/>
              </w:rPr>
            </w:pPr>
            <w:r w:rsidRPr="00075175">
              <w:rPr>
                <w:rFonts w:asciiTheme="minorHAnsi" w:hAnsiTheme="minorHAnsi"/>
                <w:sz w:val="24"/>
                <w:szCs w:val="24"/>
              </w:rPr>
              <w:t>Monitorowanie procesu świadczenia usług edukacyjnych – Gromadzenie informacji, przygotowanie sprawozdań i danych do SIO oraz systemu statystyki publicznej, w tym danych o potrzebach osób niepełnosprawnych.</w:t>
            </w:r>
          </w:p>
          <w:p w:rsidR="00847423" w:rsidRPr="00075175" w:rsidRDefault="00847423" w:rsidP="00847423">
            <w:pPr>
              <w:numPr>
                <w:ilvl w:val="0"/>
                <w:numId w:val="11"/>
              </w:numPr>
              <w:rPr>
                <w:rFonts w:asciiTheme="minorHAnsi" w:hAnsiTheme="minorHAnsi"/>
                <w:sz w:val="24"/>
                <w:szCs w:val="24"/>
              </w:rPr>
            </w:pPr>
            <w:r w:rsidRPr="00075175">
              <w:rPr>
                <w:rFonts w:asciiTheme="minorHAnsi" w:hAnsiTheme="minorHAnsi"/>
                <w:sz w:val="24"/>
                <w:szCs w:val="24"/>
              </w:rPr>
              <w:t>Tworzenie i zarządzanie siecią szkół, przedszkoli i placówek edukacyjnych – Powoływanie i likwidowanie jednostek, nadawanie statutów, prowadzenie ewidencji, zatwierdzanie arkuszy organizacji szkół i placówek</w:t>
            </w:r>
          </w:p>
          <w:p w:rsidR="00847423" w:rsidRPr="00075175" w:rsidRDefault="00847423" w:rsidP="00847423">
            <w:pPr>
              <w:numPr>
                <w:ilvl w:val="0"/>
                <w:numId w:val="11"/>
              </w:numPr>
              <w:rPr>
                <w:rFonts w:asciiTheme="minorHAnsi" w:hAnsiTheme="minorHAnsi"/>
                <w:sz w:val="24"/>
                <w:szCs w:val="24"/>
              </w:rPr>
            </w:pPr>
            <w:r w:rsidRPr="00075175">
              <w:rPr>
                <w:rFonts w:asciiTheme="minorHAnsi" w:hAnsiTheme="minorHAnsi"/>
                <w:sz w:val="24"/>
                <w:szCs w:val="24"/>
              </w:rPr>
              <w:lastRenderedPageBreak/>
              <w:t>Finansowanie działań oświatowych i nadzorowanie sposobu wykorzystania środków - Dysponowanie budżetem JST na zadania oświatowe. Analiza planów i sprawozdań finansowych szkół i placówek. Udzielanie dotacji dla szkół i placówek edukacyjnych (publicznych i niepublicznych). Koordynacja działań związanych z pozyskiwaniem i rozliczaniem funduszy na realizację projektów edukacyjnych.</w:t>
            </w:r>
          </w:p>
          <w:p w:rsidR="00847423" w:rsidRPr="00075175" w:rsidRDefault="00847423" w:rsidP="00847423">
            <w:pPr>
              <w:numPr>
                <w:ilvl w:val="0"/>
                <w:numId w:val="11"/>
              </w:numPr>
              <w:rPr>
                <w:rFonts w:asciiTheme="minorHAnsi" w:hAnsiTheme="minorHAnsi"/>
                <w:sz w:val="24"/>
                <w:szCs w:val="24"/>
              </w:rPr>
            </w:pPr>
            <w:r w:rsidRPr="00075175">
              <w:rPr>
                <w:rFonts w:asciiTheme="minorHAnsi" w:hAnsiTheme="minorHAnsi"/>
                <w:sz w:val="24"/>
                <w:szCs w:val="24"/>
              </w:rPr>
              <w:t>Wybór i nadzorowanie dyrektorów szkół / placówek – Organizacja konkursów, ocena ich pracy, motywowanie i doskonalenie jako kierowników zakładów. Wnioskowanie o odznaczenia i nagrody dla dyrektorów.</w:t>
            </w:r>
          </w:p>
          <w:p w:rsidR="00847423" w:rsidRPr="00075175" w:rsidRDefault="00847423" w:rsidP="00847423">
            <w:pPr>
              <w:numPr>
                <w:ilvl w:val="0"/>
                <w:numId w:val="11"/>
              </w:numPr>
              <w:rPr>
                <w:rFonts w:asciiTheme="minorHAnsi" w:hAnsiTheme="minorHAnsi"/>
                <w:sz w:val="24"/>
                <w:szCs w:val="24"/>
              </w:rPr>
            </w:pPr>
            <w:r w:rsidRPr="00075175">
              <w:rPr>
                <w:rFonts w:asciiTheme="minorHAnsi" w:hAnsiTheme="minorHAnsi"/>
                <w:sz w:val="24"/>
                <w:szCs w:val="24"/>
              </w:rPr>
              <w:t>Sprawowanie nadzoru nad działalnością szkół i placówek – Kontrola prawidłowości dysponowania środkami budżetowymi, gospodarowania mieniem, przestrzegania przepisów bhp oraz zasad organizacji pracy szkoły / placówki.</w:t>
            </w:r>
          </w:p>
          <w:p w:rsidR="00847423" w:rsidRPr="00075175" w:rsidRDefault="00847423" w:rsidP="00847423">
            <w:pPr>
              <w:numPr>
                <w:ilvl w:val="0"/>
                <w:numId w:val="11"/>
              </w:numPr>
              <w:rPr>
                <w:rFonts w:asciiTheme="minorHAnsi" w:hAnsiTheme="minorHAnsi"/>
                <w:sz w:val="24"/>
                <w:szCs w:val="24"/>
              </w:rPr>
            </w:pPr>
            <w:r w:rsidRPr="00075175">
              <w:rPr>
                <w:rFonts w:asciiTheme="minorHAnsi" w:hAnsiTheme="minorHAnsi"/>
                <w:sz w:val="24"/>
                <w:szCs w:val="24"/>
              </w:rPr>
              <w:t>Wyznaczanie ram polityki kadrowej i płacowej w szkołach i placówkach edukacyjnych - Określanie zasad rozliczania obowiązkowego wymiaru godzin pracy nauczycieli. Ustalanie regulaminu ich wynagradzania. Tworzenie funduszu nagród. Finansowanie doskonalenia zawodowego oraz powoływanie komisji egzaminacyjnej na stopień nauczyciela mianowanego.</w:t>
            </w:r>
          </w:p>
          <w:p w:rsidR="00847423" w:rsidRPr="00075175" w:rsidRDefault="00847423" w:rsidP="00847423">
            <w:pPr>
              <w:numPr>
                <w:ilvl w:val="0"/>
                <w:numId w:val="11"/>
              </w:numPr>
              <w:rPr>
                <w:rFonts w:asciiTheme="minorHAnsi" w:hAnsiTheme="minorHAnsi"/>
                <w:sz w:val="24"/>
                <w:szCs w:val="24"/>
              </w:rPr>
            </w:pPr>
            <w:r w:rsidRPr="00075175">
              <w:rPr>
                <w:rFonts w:asciiTheme="minorHAnsi" w:hAnsiTheme="minorHAnsi"/>
                <w:sz w:val="24"/>
                <w:szCs w:val="24"/>
              </w:rPr>
              <w:t xml:space="preserve">Wspieranie uczniów w realizacji obowiązku szkolnego – Zapewnienie dowozu dzieci / uczniów do przedszkoli i szkół. Pomoc stypendialna dla uczniów. Organizacja konkursów oraz inicjatyw wspomagających edukację na poziomie lokalnym. </w:t>
            </w:r>
          </w:p>
          <w:p w:rsidR="00847423" w:rsidRPr="00075175" w:rsidRDefault="00847423" w:rsidP="00847423">
            <w:pPr>
              <w:numPr>
                <w:ilvl w:val="0"/>
                <w:numId w:val="11"/>
              </w:numPr>
              <w:rPr>
                <w:rFonts w:asciiTheme="minorHAnsi" w:hAnsiTheme="minorHAnsi"/>
                <w:sz w:val="24"/>
                <w:szCs w:val="24"/>
              </w:rPr>
            </w:pPr>
            <w:r w:rsidRPr="00075175">
              <w:rPr>
                <w:rFonts w:asciiTheme="minorHAnsi" w:hAnsiTheme="minorHAnsi"/>
                <w:sz w:val="24"/>
                <w:szCs w:val="24"/>
              </w:rPr>
              <w:t>Koordynacja działań podejmowanych przez różne podmioty w sferze oświaty na terenie gminy / powiatu.</w:t>
            </w:r>
          </w:p>
          <w:p w:rsidR="00847423" w:rsidRPr="00075175" w:rsidRDefault="00847423" w:rsidP="00F0564F">
            <w:pPr>
              <w:rPr>
                <w:rFonts w:asciiTheme="minorHAnsi" w:hAnsiTheme="minorHAnsi"/>
                <w:sz w:val="24"/>
                <w:szCs w:val="24"/>
              </w:rPr>
            </w:pPr>
            <w:r w:rsidRPr="00075175">
              <w:rPr>
                <w:rFonts w:asciiTheme="minorHAnsi" w:hAnsiTheme="minorHAnsi"/>
                <w:sz w:val="24"/>
                <w:szCs w:val="24"/>
                <w:highlight w:val="yellow"/>
              </w:rPr>
              <w:t>[do weryfikacji / uzupełnienia]</w:t>
            </w:r>
          </w:p>
          <w:p w:rsidR="00847423" w:rsidRPr="00075175" w:rsidRDefault="00847423" w:rsidP="00F0564F">
            <w:pPr>
              <w:rPr>
                <w:rFonts w:asciiTheme="minorHAnsi" w:hAnsiTheme="minorHAnsi"/>
                <w:sz w:val="24"/>
                <w:szCs w:val="24"/>
              </w:rPr>
            </w:pPr>
          </w:p>
          <w:p w:rsidR="00847423" w:rsidRPr="00075175" w:rsidRDefault="00847423" w:rsidP="00F0564F">
            <w:pPr>
              <w:rPr>
                <w:rFonts w:asciiTheme="minorHAnsi" w:hAnsiTheme="minorHAnsi"/>
                <w:sz w:val="24"/>
                <w:szCs w:val="24"/>
              </w:rPr>
            </w:pPr>
          </w:p>
        </w:tc>
      </w:tr>
      <w:tr w:rsidR="00847423" w:rsidRPr="00075175" w:rsidTr="00F0564F">
        <w:tc>
          <w:tcPr>
            <w:tcW w:w="9634" w:type="dxa"/>
          </w:tcPr>
          <w:p w:rsidR="00847423" w:rsidRPr="00075175" w:rsidRDefault="00847423" w:rsidP="00F0564F">
            <w:pPr>
              <w:pStyle w:val="Nagwek2"/>
              <w:numPr>
                <w:ilvl w:val="0"/>
                <w:numId w:val="6"/>
              </w:numPr>
              <w:outlineLvl w:val="1"/>
              <w:rPr>
                <w:rFonts w:asciiTheme="minorHAnsi" w:hAnsiTheme="minorHAnsi"/>
                <w:sz w:val="24"/>
                <w:szCs w:val="24"/>
              </w:rPr>
            </w:pPr>
            <w:r w:rsidRPr="00075175">
              <w:rPr>
                <w:rFonts w:asciiTheme="minorHAnsi" w:hAnsiTheme="minorHAnsi"/>
                <w:sz w:val="24"/>
                <w:szCs w:val="24"/>
              </w:rPr>
              <w:lastRenderedPageBreak/>
              <w:t>Narzędzia i rozwiązania zarządcze</w:t>
            </w:r>
          </w:p>
        </w:tc>
      </w:tr>
      <w:tr w:rsidR="00847423" w:rsidRPr="00075175" w:rsidTr="00F0564F">
        <w:tc>
          <w:tcPr>
            <w:tcW w:w="9634" w:type="dxa"/>
            <w:shd w:val="clear" w:color="auto" w:fill="D9D9D9" w:themeFill="background1" w:themeFillShade="D9"/>
          </w:tcPr>
          <w:p w:rsidR="00847423" w:rsidRPr="00075175" w:rsidRDefault="00847423" w:rsidP="00F0564F">
            <w:pPr>
              <w:rPr>
                <w:rFonts w:asciiTheme="minorHAnsi" w:hAnsiTheme="minorHAnsi"/>
                <w:i/>
                <w:sz w:val="24"/>
                <w:szCs w:val="24"/>
              </w:rPr>
            </w:pPr>
            <w:r w:rsidRPr="00075175">
              <w:rPr>
                <w:rFonts w:asciiTheme="minorHAnsi" w:hAnsiTheme="minorHAnsi"/>
                <w:i/>
                <w:sz w:val="24"/>
                <w:szCs w:val="24"/>
              </w:rPr>
              <w:t>Instrukcja: Wykonawca powinien systematycznie opisać znane mu narzędzia i rozwiązania zarządcze wykorzystywane w celu realizacji kluczowych zadań i funkcji organu prowadzącego w danym obszarze. Oczekujemy, że każdej z funkcji wspomnianych w pkt. 3 zostaną przypisane co najmniej 2 różne rozwiązania zarządcze.</w:t>
            </w:r>
          </w:p>
        </w:tc>
      </w:tr>
      <w:tr w:rsidR="00847423" w:rsidRPr="00075175" w:rsidTr="00F0564F">
        <w:trPr>
          <w:trHeight w:val="545"/>
        </w:trPr>
        <w:tc>
          <w:tcPr>
            <w:tcW w:w="9634" w:type="dxa"/>
          </w:tcPr>
          <w:p w:rsidR="00847423" w:rsidRPr="00075175" w:rsidRDefault="00847423" w:rsidP="00F0564F">
            <w:pPr>
              <w:rPr>
                <w:rFonts w:asciiTheme="minorHAnsi" w:hAnsiTheme="minorHAnsi"/>
                <w:sz w:val="24"/>
                <w:szCs w:val="24"/>
              </w:rPr>
            </w:pPr>
            <w:r w:rsidRPr="00075175">
              <w:rPr>
                <w:rFonts w:asciiTheme="minorHAnsi" w:hAnsiTheme="minorHAnsi"/>
                <w:sz w:val="24"/>
                <w:szCs w:val="24"/>
                <w:highlight w:val="yellow"/>
              </w:rPr>
              <w:t>[do uzupełnienia]</w:t>
            </w:r>
          </w:p>
          <w:p w:rsidR="00847423" w:rsidRPr="00075175" w:rsidRDefault="00847423" w:rsidP="00F0564F">
            <w:pPr>
              <w:rPr>
                <w:rFonts w:asciiTheme="minorHAnsi" w:hAnsiTheme="minorHAnsi"/>
                <w:sz w:val="24"/>
                <w:szCs w:val="24"/>
              </w:rPr>
            </w:pPr>
          </w:p>
          <w:p w:rsidR="00847423" w:rsidRPr="00075175" w:rsidRDefault="00847423" w:rsidP="00F0564F">
            <w:pPr>
              <w:rPr>
                <w:rFonts w:asciiTheme="minorHAnsi" w:hAnsiTheme="minorHAnsi"/>
                <w:sz w:val="24"/>
                <w:szCs w:val="24"/>
              </w:rPr>
            </w:pPr>
          </w:p>
        </w:tc>
      </w:tr>
      <w:tr w:rsidR="00847423" w:rsidRPr="00075175" w:rsidTr="00F0564F">
        <w:tc>
          <w:tcPr>
            <w:tcW w:w="9634" w:type="dxa"/>
          </w:tcPr>
          <w:p w:rsidR="00847423" w:rsidRPr="00075175" w:rsidRDefault="00847423" w:rsidP="00F0564F">
            <w:pPr>
              <w:pStyle w:val="Nagwek2"/>
              <w:numPr>
                <w:ilvl w:val="0"/>
                <w:numId w:val="6"/>
              </w:numPr>
              <w:outlineLvl w:val="1"/>
              <w:rPr>
                <w:rFonts w:asciiTheme="minorHAnsi" w:hAnsiTheme="minorHAnsi"/>
                <w:sz w:val="24"/>
                <w:szCs w:val="24"/>
              </w:rPr>
            </w:pPr>
            <w:r w:rsidRPr="00075175">
              <w:rPr>
                <w:rFonts w:asciiTheme="minorHAnsi" w:hAnsiTheme="minorHAnsi"/>
                <w:sz w:val="24"/>
                <w:szCs w:val="24"/>
              </w:rPr>
              <w:t>Dobre praktyki</w:t>
            </w:r>
          </w:p>
        </w:tc>
      </w:tr>
      <w:tr w:rsidR="00847423" w:rsidRPr="00075175" w:rsidTr="00F0564F">
        <w:tc>
          <w:tcPr>
            <w:tcW w:w="9634" w:type="dxa"/>
            <w:shd w:val="clear" w:color="auto" w:fill="D9D9D9" w:themeFill="background1" w:themeFillShade="D9"/>
          </w:tcPr>
          <w:p w:rsidR="00847423" w:rsidRPr="00075175" w:rsidRDefault="00847423" w:rsidP="00F0564F">
            <w:pPr>
              <w:rPr>
                <w:rFonts w:asciiTheme="minorHAnsi" w:hAnsiTheme="minorHAnsi"/>
                <w:i/>
                <w:sz w:val="24"/>
                <w:szCs w:val="24"/>
              </w:rPr>
            </w:pPr>
            <w:r w:rsidRPr="00075175">
              <w:rPr>
                <w:rFonts w:asciiTheme="minorHAnsi" w:hAnsiTheme="minorHAnsi"/>
                <w:i/>
                <w:sz w:val="24"/>
                <w:szCs w:val="24"/>
              </w:rPr>
              <w:t xml:space="preserve">Instrukcja: - Nie zakładamy tworzenia nowych opisów dobrej praktyki. Wykonawca powinien natomiast dokonać przeglądu i analizy dostępnych opracowań oraz dobrać przykłady prezentujące wzorcowe podejście samorządów do zarządzania oświatą w badanym obszarze*. Wybrane praktyki powinny zostać opatrzone komentarzem, wyjaśniającym: Jakiego zadania </w:t>
            </w:r>
            <w:r w:rsidRPr="00075175">
              <w:rPr>
                <w:rFonts w:asciiTheme="minorHAnsi" w:hAnsiTheme="minorHAnsi"/>
                <w:i/>
                <w:sz w:val="24"/>
                <w:szCs w:val="24"/>
              </w:rPr>
              <w:lastRenderedPageBreak/>
              <w:t>dotyczą? W jakiej mierze są ilustracją omówionych wcześniej narzędzi? Kto i dlaczego powinien się zapoznać z opisem? Na co ma zwrócić uwagę?</w:t>
            </w:r>
          </w:p>
          <w:p w:rsidR="00847423" w:rsidRPr="00075175" w:rsidRDefault="00847423" w:rsidP="00F0564F">
            <w:pPr>
              <w:rPr>
                <w:rFonts w:asciiTheme="minorHAnsi" w:hAnsiTheme="minorHAnsi"/>
                <w:i/>
                <w:sz w:val="24"/>
                <w:szCs w:val="24"/>
              </w:rPr>
            </w:pPr>
            <w:r w:rsidRPr="00075175">
              <w:rPr>
                <w:rFonts w:asciiTheme="minorHAnsi" w:hAnsiTheme="minorHAnsi"/>
                <w:i/>
                <w:sz w:val="24"/>
                <w:szCs w:val="24"/>
              </w:rPr>
              <w:t>Oczekujemy, że każde z narzędzi zarządczych omawianych w ramach pkt 4 zostanie zilustrowane odniesieniem do co najmniej dwóch przykładów jego skutecznego zastosowania w samorządach różnego typu. Jeśli dane rozwiązanie nie doczekało się jeszcze pełnej adaptacji w polskich warunkach, możliwe jest podanie wdrożeń częściowych i wzorców zagranicznych.</w:t>
            </w:r>
          </w:p>
          <w:p w:rsidR="00847423" w:rsidRPr="00075175" w:rsidRDefault="00847423" w:rsidP="00F0564F">
            <w:pPr>
              <w:rPr>
                <w:rFonts w:asciiTheme="minorHAnsi" w:hAnsiTheme="minorHAnsi"/>
                <w:i/>
                <w:sz w:val="24"/>
                <w:szCs w:val="24"/>
              </w:rPr>
            </w:pPr>
            <w:r w:rsidRPr="00075175">
              <w:rPr>
                <w:rFonts w:asciiTheme="minorHAnsi" w:hAnsiTheme="minorHAnsi"/>
                <w:i/>
                <w:sz w:val="24"/>
                <w:szCs w:val="24"/>
              </w:rPr>
              <w:t>* Wykonawca może również wskazać znane mu ośrodki, gdzie wdrażane są innowacyjne rozwiązania, nawet jeśli nie doczekały się one jeszcze publikacji w formie opisu dobrej praktyki. W takim przypadku oczekujemy podania namiarów na osobę kontaktową, która może dostarczyć szczegółowych informacji na ten temat.</w:t>
            </w:r>
          </w:p>
        </w:tc>
      </w:tr>
      <w:tr w:rsidR="00847423" w:rsidRPr="00075175" w:rsidTr="00F0564F">
        <w:trPr>
          <w:trHeight w:val="28"/>
        </w:trPr>
        <w:tc>
          <w:tcPr>
            <w:tcW w:w="9634" w:type="dxa"/>
          </w:tcPr>
          <w:p w:rsidR="00847423" w:rsidRPr="00075175" w:rsidRDefault="00847423" w:rsidP="00F0564F">
            <w:pPr>
              <w:rPr>
                <w:rFonts w:asciiTheme="minorHAnsi" w:hAnsiTheme="minorHAnsi"/>
                <w:sz w:val="24"/>
                <w:szCs w:val="24"/>
              </w:rPr>
            </w:pPr>
            <w:r w:rsidRPr="00075175">
              <w:rPr>
                <w:rFonts w:asciiTheme="minorHAnsi" w:hAnsiTheme="minorHAnsi"/>
                <w:sz w:val="24"/>
                <w:szCs w:val="24"/>
                <w:highlight w:val="yellow"/>
              </w:rPr>
              <w:lastRenderedPageBreak/>
              <w:t>[do uzupełnienia]</w:t>
            </w:r>
          </w:p>
          <w:p w:rsidR="00847423" w:rsidRPr="00075175" w:rsidRDefault="00847423" w:rsidP="00F0564F">
            <w:pPr>
              <w:rPr>
                <w:rFonts w:asciiTheme="minorHAnsi" w:hAnsiTheme="minorHAnsi"/>
                <w:sz w:val="24"/>
                <w:szCs w:val="24"/>
              </w:rPr>
            </w:pPr>
          </w:p>
          <w:p w:rsidR="00847423" w:rsidRPr="00075175" w:rsidRDefault="00847423" w:rsidP="00F0564F">
            <w:pPr>
              <w:rPr>
                <w:rFonts w:asciiTheme="minorHAnsi" w:hAnsiTheme="minorHAnsi"/>
                <w:sz w:val="24"/>
                <w:szCs w:val="24"/>
              </w:rPr>
            </w:pPr>
          </w:p>
        </w:tc>
      </w:tr>
      <w:tr w:rsidR="00847423" w:rsidRPr="00075175" w:rsidTr="00F0564F">
        <w:tc>
          <w:tcPr>
            <w:tcW w:w="9634" w:type="dxa"/>
          </w:tcPr>
          <w:p w:rsidR="00847423" w:rsidRPr="00075175" w:rsidRDefault="00847423" w:rsidP="00F0564F">
            <w:pPr>
              <w:pStyle w:val="Nagwek2"/>
              <w:numPr>
                <w:ilvl w:val="0"/>
                <w:numId w:val="6"/>
              </w:numPr>
              <w:outlineLvl w:val="1"/>
              <w:rPr>
                <w:rFonts w:asciiTheme="minorHAnsi" w:hAnsiTheme="minorHAnsi"/>
                <w:sz w:val="24"/>
                <w:szCs w:val="24"/>
              </w:rPr>
            </w:pPr>
            <w:r w:rsidRPr="00075175">
              <w:rPr>
                <w:rFonts w:asciiTheme="minorHAnsi" w:hAnsiTheme="minorHAnsi"/>
                <w:sz w:val="24"/>
                <w:szCs w:val="24"/>
              </w:rPr>
              <w:t>Analiza kluczowych problemów</w:t>
            </w:r>
          </w:p>
        </w:tc>
      </w:tr>
      <w:tr w:rsidR="00847423" w:rsidRPr="00075175" w:rsidTr="00F0564F">
        <w:tc>
          <w:tcPr>
            <w:tcW w:w="9634" w:type="dxa"/>
            <w:shd w:val="clear" w:color="auto" w:fill="D9D9D9" w:themeFill="background1" w:themeFillShade="D9"/>
          </w:tcPr>
          <w:p w:rsidR="00847423" w:rsidRPr="00075175" w:rsidRDefault="00847423" w:rsidP="00F0564F">
            <w:pPr>
              <w:rPr>
                <w:rFonts w:asciiTheme="minorHAnsi" w:hAnsiTheme="minorHAnsi"/>
                <w:i/>
                <w:sz w:val="24"/>
                <w:szCs w:val="24"/>
              </w:rPr>
            </w:pPr>
            <w:r w:rsidRPr="00075175">
              <w:rPr>
                <w:rFonts w:asciiTheme="minorHAnsi" w:hAnsiTheme="minorHAnsi"/>
                <w:i/>
                <w:sz w:val="24"/>
                <w:szCs w:val="24"/>
              </w:rPr>
              <w:t>Instrukcja: Wykonawca powinien wskazać kluczowe bariery utrudniające prawidłową realizację funkcji i zadań wymienionych pkt 3. (np. Ograniczenia mogą wynikać z uwarunkowań prawnych i systemowych, wiązać się z postawami lub kompetencjami kadry zarządzającej, brakiem odpowiednich zasobów, uwarunkowaniami instytucjonalnymi, itp.) Oczekuje się, że Wykonawca oceni względną wagę danego problemu, zidentyfikuje jego źródła oraz zaproponuje kierunki działań, które należałoby podjąć w celu jego rozwiązania.</w:t>
            </w:r>
          </w:p>
        </w:tc>
      </w:tr>
      <w:tr w:rsidR="00847423" w:rsidRPr="00075175" w:rsidTr="00F0564F">
        <w:trPr>
          <w:trHeight w:val="933"/>
        </w:trPr>
        <w:tc>
          <w:tcPr>
            <w:tcW w:w="9634" w:type="dxa"/>
          </w:tcPr>
          <w:p w:rsidR="00847423" w:rsidRPr="00075175" w:rsidRDefault="00847423" w:rsidP="00F0564F">
            <w:pPr>
              <w:rPr>
                <w:rFonts w:asciiTheme="minorHAnsi" w:hAnsiTheme="minorHAnsi"/>
                <w:sz w:val="24"/>
                <w:szCs w:val="24"/>
              </w:rPr>
            </w:pPr>
            <w:r w:rsidRPr="00075175">
              <w:rPr>
                <w:rFonts w:asciiTheme="minorHAnsi" w:hAnsiTheme="minorHAnsi"/>
                <w:sz w:val="24"/>
                <w:szCs w:val="24"/>
                <w:highlight w:val="yellow"/>
              </w:rPr>
              <w:t>[do uzupełnienia]</w:t>
            </w:r>
          </w:p>
          <w:p w:rsidR="00847423" w:rsidRPr="00075175" w:rsidRDefault="00847423" w:rsidP="00F0564F">
            <w:pPr>
              <w:rPr>
                <w:rFonts w:asciiTheme="minorHAnsi" w:hAnsiTheme="minorHAnsi"/>
                <w:sz w:val="24"/>
                <w:szCs w:val="24"/>
              </w:rPr>
            </w:pPr>
          </w:p>
          <w:p w:rsidR="00847423" w:rsidRPr="00075175" w:rsidRDefault="00847423" w:rsidP="00F0564F">
            <w:pPr>
              <w:rPr>
                <w:rFonts w:asciiTheme="minorHAnsi" w:hAnsiTheme="minorHAnsi"/>
                <w:sz w:val="24"/>
                <w:szCs w:val="24"/>
              </w:rPr>
            </w:pPr>
          </w:p>
        </w:tc>
      </w:tr>
      <w:tr w:rsidR="00847423" w:rsidRPr="00075175" w:rsidTr="00F0564F">
        <w:tc>
          <w:tcPr>
            <w:tcW w:w="9634" w:type="dxa"/>
          </w:tcPr>
          <w:p w:rsidR="00847423" w:rsidRPr="00075175" w:rsidRDefault="00847423" w:rsidP="00F0564F">
            <w:pPr>
              <w:pStyle w:val="Nagwek2"/>
              <w:numPr>
                <w:ilvl w:val="0"/>
                <w:numId w:val="6"/>
              </w:numPr>
              <w:outlineLvl w:val="1"/>
              <w:rPr>
                <w:rFonts w:asciiTheme="minorHAnsi" w:hAnsiTheme="minorHAnsi"/>
                <w:sz w:val="24"/>
                <w:szCs w:val="24"/>
              </w:rPr>
            </w:pPr>
            <w:r w:rsidRPr="00075175">
              <w:rPr>
                <w:rFonts w:asciiTheme="minorHAnsi" w:hAnsiTheme="minorHAnsi"/>
                <w:sz w:val="24"/>
                <w:szCs w:val="24"/>
              </w:rPr>
              <w:t>Trendy i tendencje w rozwoju obszaru</w:t>
            </w:r>
          </w:p>
        </w:tc>
      </w:tr>
      <w:tr w:rsidR="00847423" w:rsidRPr="00075175" w:rsidTr="00F0564F">
        <w:tc>
          <w:tcPr>
            <w:tcW w:w="9634" w:type="dxa"/>
            <w:shd w:val="clear" w:color="auto" w:fill="D9D9D9" w:themeFill="background1" w:themeFillShade="D9"/>
          </w:tcPr>
          <w:p w:rsidR="00847423" w:rsidRPr="00075175" w:rsidRDefault="00847423" w:rsidP="00F0564F">
            <w:pPr>
              <w:rPr>
                <w:rFonts w:asciiTheme="minorHAnsi" w:hAnsiTheme="minorHAnsi"/>
                <w:i/>
                <w:sz w:val="24"/>
                <w:szCs w:val="24"/>
              </w:rPr>
            </w:pPr>
            <w:r w:rsidRPr="00075175">
              <w:rPr>
                <w:rFonts w:asciiTheme="minorHAnsi" w:hAnsiTheme="minorHAnsi"/>
                <w:i/>
                <w:sz w:val="24"/>
                <w:szCs w:val="24"/>
              </w:rPr>
              <w:t>Instrukcja: W oparciu o przegląd dostępnej literatury Wykonawca zaprezentuje krótko najciekawsze zjawiska, tendencje i prawidłowości obserwowane w Polsce i za granicą w zakresie zarządzania oświatą w analizowanym obszarze. Porówna je między sobą i z dominującą w kraju praktyką. Oczekuje się, że przegląd zostanie uzupełniony bibliografią wykorzystanych publikacji oraz linkami do witryn ośrodków – aktywnych w zakresie wspomnianych w tekście innowacji i prac koncepcyjnych.</w:t>
            </w:r>
          </w:p>
        </w:tc>
      </w:tr>
      <w:tr w:rsidR="00847423" w:rsidRPr="00075175" w:rsidTr="00F0564F">
        <w:trPr>
          <w:trHeight w:val="1200"/>
        </w:trPr>
        <w:tc>
          <w:tcPr>
            <w:tcW w:w="9634" w:type="dxa"/>
          </w:tcPr>
          <w:p w:rsidR="00847423" w:rsidRPr="00075175" w:rsidRDefault="00847423" w:rsidP="00F0564F">
            <w:pPr>
              <w:rPr>
                <w:rFonts w:asciiTheme="minorHAnsi" w:hAnsiTheme="minorHAnsi"/>
                <w:sz w:val="24"/>
                <w:szCs w:val="24"/>
              </w:rPr>
            </w:pPr>
            <w:r w:rsidRPr="00075175">
              <w:rPr>
                <w:rFonts w:asciiTheme="minorHAnsi" w:hAnsiTheme="minorHAnsi"/>
                <w:sz w:val="24"/>
                <w:szCs w:val="24"/>
                <w:highlight w:val="yellow"/>
              </w:rPr>
              <w:t>[do uzupełnienia]</w:t>
            </w:r>
          </w:p>
          <w:p w:rsidR="00847423" w:rsidRPr="00075175" w:rsidRDefault="00847423" w:rsidP="00F0564F">
            <w:pPr>
              <w:rPr>
                <w:rFonts w:asciiTheme="minorHAnsi" w:hAnsiTheme="minorHAnsi"/>
                <w:sz w:val="24"/>
                <w:szCs w:val="24"/>
              </w:rPr>
            </w:pPr>
          </w:p>
          <w:p w:rsidR="00847423" w:rsidRPr="00075175" w:rsidRDefault="00847423" w:rsidP="00F0564F">
            <w:pPr>
              <w:rPr>
                <w:rFonts w:asciiTheme="minorHAnsi" w:hAnsiTheme="minorHAnsi"/>
                <w:sz w:val="24"/>
                <w:szCs w:val="24"/>
              </w:rPr>
            </w:pPr>
          </w:p>
        </w:tc>
      </w:tr>
    </w:tbl>
    <w:p w:rsidR="00847423" w:rsidRPr="00075175" w:rsidRDefault="00847423" w:rsidP="00847423">
      <w:pPr>
        <w:rPr>
          <w:rFonts w:asciiTheme="minorHAnsi" w:hAnsiTheme="minorHAnsi"/>
          <w:sz w:val="24"/>
          <w:szCs w:val="24"/>
        </w:rPr>
      </w:pPr>
    </w:p>
    <w:tbl>
      <w:tblPr>
        <w:tblStyle w:val="Tabela-Siatka"/>
        <w:tblW w:w="9634" w:type="dxa"/>
        <w:tblLayout w:type="fixed"/>
        <w:tblCellMar>
          <w:top w:w="57" w:type="dxa"/>
          <w:left w:w="85" w:type="dxa"/>
          <w:bottom w:w="57" w:type="dxa"/>
          <w:right w:w="85" w:type="dxa"/>
        </w:tblCellMar>
        <w:tblLook w:val="04A0"/>
      </w:tblPr>
      <w:tblGrid>
        <w:gridCol w:w="9634"/>
      </w:tblGrid>
      <w:tr w:rsidR="00F762C7" w:rsidRPr="00075175" w:rsidTr="00F0564F">
        <w:tc>
          <w:tcPr>
            <w:tcW w:w="9634" w:type="dxa"/>
          </w:tcPr>
          <w:p w:rsidR="00F762C7" w:rsidRPr="00075175" w:rsidRDefault="00F762C7" w:rsidP="00F0564F">
            <w:pPr>
              <w:pStyle w:val="Nagwek1"/>
              <w:spacing w:before="0" w:after="0"/>
              <w:outlineLvl w:val="0"/>
              <w:rPr>
                <w:rFonts w:asciiTheme="minorHAnsi" w:hAnsiTheme="minorHAnsi"/>
                <w:szCs w:val="24"/>
              </w:rPr>
            </w:pPr>
            <w:r w:rsidRPr="00075175">
              <w:rPr>
                <w:rFonts w:asciiTheme="minorHAnsi" w:hAnsiTheme="minorHAnsi"/>
                <w:szCs w:val="24"/>
              </w:rPr>
              <w:lastRenderedPageBreak/>
              <w:t>Wsparcie kadry jednostek samorządu terytorialnego w zarządzaniu oświatą ukierunkowanym na rozwój szkół i kompetencji kluczowych uczniów  (POWR.02.10.00-IP.02-00-003/15)</w:t>
            </w:r>
          </w:p>
          <w:p w:rsidR="00F762C7" w:rsidRPr="00075175" w:rsidRDefault="00F762C7" w:rsidP="00F0564F">
            <w:pPr>
              <w:pStyle w:val="Nagwek1"/>
              <w:outlineLvl w:val="0"/>
              <w:rPr>
                <w:rFonts w:asciiTheme="minorHAnsi" w:hAnsiTheme="minorHAnsi"/>
                <w:szCs w:val="24"/>
              </w:rPr>
            </w:pPr>
            <w:r w:rsidRPr="00075175">
              <w:rPr>
                <w:rFonts w:asciiTheme="minorHAnsi" w:hAnsiTheme="minorHAnsi"/>
                <w:szCs w:val="24"/>
              </w:rPr>
              <w:t xml:space="preserve">Strategiczny przegląd sytuacji w obszarze 5: </w:t>
            </w:r>
          </w:p>
          <w:p w:rsidR="00F762C7" w:rsidRPr="00075175" w:rsidRDefault="00F762C7" w:rsidP="00F0564F">
            <w:pPr>
              <w:pStyle w:val="Nagwek1"/>
              <w:spacing w:before="0"/>
              <w:jc w:val="left"/>
              <w:outlineLvl w:val="0"/>
              <w:rPr>
                <w:rFonts w:asciiTheme="minorHAnsi" w:hAnsiTheme="minorHAnsi"/>
                <w:szCs w:val="24"/>
              </w:rPr>
            </w:pPr>
            <w:r w:rsidRPr="00075175">
              <w:rPr>
                <w:rFonts w:asciiTheme="minorHAnsi" w:hAnsiTheme="minorHAnsi"/>
                <w:szCs w:val="24"/>
              </w:rPr>
              <w:t>System wspomagania szkół - motywowanie i doskonalenie nauczycieli</w:t>
            </w:r>
          </w:p>
        </w:tc>
      </w:tr>
      <w:tr w:rsidR="00F762C7" w:rsidRPr="00075175" w:rsidTr="00F0564F">
        <w:tc>
          <w:tcPr>
            <w:tcW w:w="9634" w:type="dxa"/>
          </w:tcPr>
          <w:p w:rsidR="00F762C7" w:rsidRPr="00075175" w:rsidRDefault="00F762C7" w:rsidP="00F0564F">
            <w:pPr>
              <w:rPr>
                <w:rFonts w:asciiTheme="minorHAnsi" w:hAnsiTheme="minorHAnsi"/>
                <w:sz w:val="24"/>
                <w:szCs w:val="24"/>
              </w:rPr>
            </w:pPr>
          </w:p>
        </w:tc>
      </w:tr>
      <w:tr w:rsidR="00F762C7" w:rsidRPr="00075175" w:rsidTr="00F0564F">
        <w:tc>
          <w:tcPr>
            <w:tcW w:w="9634" w:type="dxa"/>
          </w:tcPr>
          <w:p w:rsidR="00F762C7" w:rsidRPr="00075175" w:rsidRDefault="00F762C7" w:rsidP="00F0564F">
            <w:pPr>
              <w:pStyle w:val="Nagwek2"/>
              <w:numPr>
                <w:ilvl w:val="0"/>
                <w:numId w:val="6"/>
              </w:numPr>
              <w:outlineLvl w:val="1"/>
              <w:rPr>
                <w:rFonts w:asciiTheme="minorHAnsi" w:hAnsiTheme="minorHAnsi"/>
                <w:sz w:val="24"/>
                <w:szCs w:val="24"/>
              </w:rPr>
            </w:pPr>
            <w:r w:rsidRPr="00075175">
              <w:rPr>
                <w:rFonts w:asciiTheme="minorHAnsi" w:hAnsiTheme="minorHAnsi"/>
                <w:sz w:val="24"/>
                <w:szCs w:val="24"/>
              </w:rPr>
              <w:t>Podstawa prawna działania samorządu w tym obszarze</w:t>
            </w:r>
          </w:p>
        </w:tc>
      </w:tr>
      <w:tr w:rsidR="00F762C7" w:rsidRPr="00075175" w:rsidTr="00F0564F">
        <w:tc>
          <w:tcPr>
            <w:tcW w:w="9634" w:type="dxa"/>
            <w:shd w:val="clear" w:color="auto" w:fill="D9D9D9" w:themeFill="background1" w:themeFillShade="D9"/>
          </w:tcPr>
          <w:p w:rsidR="00F762C7" w:rsidRPr="00075175" w:rsidRDefault="00F762C7" w:rsidP="00F0564F">
            <w:pPr>
              <w:rPr>
                <w:rFonts w:asciiTheme="minorHAnsi" w:hAnsiTheme="minorHAnsi"/>
                <w:i/>
                <w:sz w:val="24"/>
                <w:szCs w:val="24"/>
              </w:rPr>
            </w:pPr>
            <w:r w:rsidRPr="00075175">
              <w:rPr>
                <w:rFonts w:asciiTheme="minorHAnsi" w:hAnsiTheme="minorHAnsi"/>
                <w:i/>
                <w:sz w:val="24"/>
                <w:szCs w:val="24"/>
              </w:rPr>
              <w:t>Instrukcja: Omówienie aktualnej podstawy prawnej działania samorządu w analizowanym obszarze, w tym aktualnych regulacji i podejmowanych inicjatyw legislacyjnych (jeśli dotyczy). Jeśli w okresie realizacji zlecenia prowadzone będą prace parlamentarne nad zmianami obowiązującego prawa, ocena ich wpływu na sposób realizacji przez JST zadań oświatowych.</w:t>
            </w:r>
          </w:p>
        </w:tc>
      </w:tr>
      <w:tr w:rsidR="00F762C7" w:rsidRPr="00075175" w:rsidTr="00F0564F">
        <w:trPr>
          <w:trHeight w:val="3402"/>
        </w:trPr>
        <w:tc>
          <w:tcPr>
            <w:tcW w:w="9634" w:type="dxa"/>
          </w:tcPr>
          <w:p w:rsidR="00F762C7" w:rsidRPr="00075175" w:rsidRDefault="00F762C7" w:rsidP="00F0564F">
            <w:pPr>
              <w:rPr>
                <w:rFonts w:asciiTheme="minorHAnsi" w:hAnsiTheme="minorHAnsi"/>
                <w:sz w:val="24"/>
                <w:szCs w:val="24"/>
              </w:rPr>
            </w:pPr>
            <w:r w:rsidRPr="00075175">
              <w:rPr>
                <w:rFonts w:asciiTheme="minorHAnsi" w:hAnsiTheme="minorHAnsi"/>
                <w:sz w:val="24"/>
                <w:szCs w:val="24"/>
              </w:rPr>
              <w:t>Obowiązki nauczycieli zostały wymienione w art. 6 ustawy Karta Nauczyciela – m.in. rzetelnie realizowanie zadań związanych z dydaktyczną, wychowawczą i opiekuńczą funkcją szkoły, zapewnienie bezpieczeństwa uczniom, wspieranie każdego ucznia w rozwoju, dążenie do pełni własnego rozwoju osobowego itd.</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t>Do oceny pracy nauczycieli stosuje się art. 6a ustawy Karta Nauczyciela, zaś do oceny ich dorobku zawodowego (w procesie ubiegania się o wyższy stopnień awansu zawodowego) - art. 9c ust. 6 ustawy Karta Nauczyciela.</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t xml:space="preserve">Zmaterializowaną formą doceniania wyróżniających się nauczycieli i dyrektorów szkół są dodatki: funkcyjny i motywacyjny a także nagroda organu prowadzącego. </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t>Wykaz stanowisk oraz sprawowanych funkcji uprawniających nauczycieli do dodatku funkcyjnego a także ogólne warunki przyznawania nauczycielom dodatku motywacyjnego zostały uregulowane w rozporządzeniu Ministra Edukacji Narodowej i Sportu z dnia 31 stycznia 2005 r. w sprawie wysokości minimalnych stawek wynagrodzenia zasadniczego nauczycieli, ogólnych warunków przyznawania dodatków do wynagrodzenia zasadniczego oraz wynagradzania za pracę w dniu wolnym od pracy.</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t>Zgodnie z §5 powołanego rozporządzenia do uzyskania dodatku funkcyjnego uprawnieni są nauczyciele, którym powierzono:</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t>1) stanowisko dyrektora lub wicedyrektora przedszkola, szkoły, placówki lub innej jednostki organizacyjnej, o której mowa w art. 1 ust. 1 i 1a Karty Nauczyciela, albo inne stanowisko kierownicze przewidziane w statucie szkoły;</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t>2) sprawowanie funkcji: (a) wychowawcy klasy, (b) doradcy metodycznego lub nauczyciela-konsultanta, (c) opiekuna stażu.</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t xml:space="preserve">Natomiast w myśl §6 powołanego rozporządzenia, do ogólnych warunków przyznawania nauczycielom dodatku motywacyjnego należą: (1) osiągnięcia w realizowanym procesie dydaktycznym; (2) osiągnięcia wychowawczo-opiekuńcze; (3) wprowadzanie innowacji pedagogicznych, skutkujących efektami w procesie kształcenia i wychowania; (4) zaangażowanie w realizację czynności i zajęć, o których mowa w art. 42 ust. 2 pkt 2 Karty Nauczyciela; (5) szczególnie efektywne wypełnianie zadań i obowiązków związanych z powierzonym stanowiskiem; (6) realizowanie w szkole zadań edukacyjnych, wynikających z przyjętych przez </w:t>
            </w:r>
            <w:r w:rsidRPr="00075175">
              <w:rPr>
                <w:rFonts w:asciiTheme="minorHAnsi" w:hAnsiTheme="minorHAnsi"/>
                <w:sz w:val="24"/>
                <w:szCs w:val="24"/>
              </w:rPr>
              <w:lastRenderedPageBreak/>
              <w:t>organ prowadzący priorytetów w realizowanej, lokalnej polityce oświatowej.</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t>Fundusz na nagrody dla nauczycieli, za ich osiągnięcia dydaktyczno-wychowawcze, tworzy się m.in. w budżetach organów prowadzących szkoły w wysokości co najmniej 1% planowanych rocznych wynagrodzeń osobowych, z przeznaczeniem na wypłaty nagród organów prowadzących szkoły i dyrektorów szkół (art. 49 ust. 1 pkt 1 ustawy – Karta Nauczyciela).</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t xml:space="preserve">Zasady finansowania dokształcania i doskonalenia zawodowego nauczycieli zostały uregulowane w ustawie Karta Nauczyciela. W myśl art. 70a tej ustawy w budżetach organów prowadzących szkoły wyodrębnia się środki na dofinansowanie doskonalenia zawodowego nauczycieli z uwzględnieniem doradztwa metodycznego - w wysokości 1% planowanych rocznych środków przeznaczonych na wynagrodzenia osobowe nauczycieli. </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t>W rozporządzeniu MEN z 29 marca 2002 r. określono zasady podziału środków na wspieranie doskonalenia zawodowego nauczycieli pomiędzy budżety poszczególnych wojewodów. Po zmianach wprowadzonych 10 listopada 2015 r. stanowi ono, że na każdy rok szkolny dyrektor szkoły lub placówki określa potrzeby w zakresie doskonalenia zawodowego nauczycieli, uwzględniając: (i) wyniki ewaluacji wewnętrznej i zewnętrznej, (ii) wyniki sprawdzianów / egzaminów, (iii) zadania związane z realizacją podstawy programowej, (iv) wymagania wobec szkół i placówek, wynikające z art. 21a ust. 3 ustawy o systemie oświaty, (v) wnioski nauczycieli o dofinansowanie kosztów niektórych form doskonalenia zawodowego.</w:t>
            </w:r>
          </w:p>
          <w:p w:rsidR="00F762C7" w:rsidRPr="00075175" w:rsidRDefault="00F762C7" w:rsidP="00F0564F">
            <w:pPr>
              <w:rPr>
                <w:rFonts w:asciiTheme="minorHAnsi" w:hAnsiTheme="minorHAnsi"/>
                <w:sz w:val="24"/>
                <w:szCs w:val="24"/>
              </w:rPr>
            </w:pPr>
            <w:r w:rsidRPr="00075175">
              <w:rPr>
                <w:rFonts w:asciiTheme="minorHAnsi" w:hAnsiTheme="minorHAnsi"/>
                <w:sz w:val="24"/>
                <w:szCs w:val="24"/>
                <w:highlight w:val="yellow"/>
              </w:rPr>
              <w:t>[do weryfikacji / uzupełnienia]</w:t>
            </w:r>
          </w:p>
          <w:p w:rsidR="00F762C7" w:rsidRPr="00075175" w:rsidRDefault="00F762C7" w:rsidP="00F0564F">
            <w:pPr>
              <w:rPr>
                <w:rFonts w:asciiTheme="minorHAnsi" w:hAnsiTheme="minorHAnsi"/>
                <w:sz w:val="24"/>
                <w:szCs w:val="24"/>
              </w:rPr>
            </w:pPr>
          </w:p>
          <w:p w:rsidR="00F762C7" w:rsidRPr="00075175" w:rsidRDefault="00F762C7" w:rsidP="00F0564F">
            <w:pPr>
              <w:rPr>
                <w:rFonts w:asciiTheme="minorHAnsi" w:hAnsiTheme="minorHAnsi"/>
                <w:color w:val="0070C0"/>
                <w:sz w:val="24"/>
                <w:szCs w:val="24"/>
              </w:rPr>
            </w:pPr>
          </w:p>
        </w:tc>
      </w:tr>
      <w:tr w:rsidR="00F762C7" w:rsidRPr="00075175" w:rsidTr="00F0564F">
        <w:tc>
          <w:tcPr>
            <w:tcW w:w="9634" w:type="dxa"/>
          </w:tcPr>
          <w:p w:rsidR="00F762C7" w:rsidRPr="00075175" w:rsidRDefault="00F762C7" w:rsidP="00F0564F">
            <w:pPr>
              <w:pStyle w:val="Nagwek2"/>
              <w:numPr>
                <w:ilvl w:val="0"/>
                <w:numId w:val="6"/>
              </w:numPr>
              <w:outlineLvl w:val="1"/>
              <w:rPr>
                <w:rFonts w:asciiTheme="minorHAnsi" w:hAnsiTheme="minorHAnsi"/>
                <w:sz w:val="24"/>
                <w:szCs w:val="24"/>
              </w:rPr>
            </w:pPr>
            <w:r w:rsidRPr="00075175">
              <w:rPr>
                <w:rFonts w:asciiTheme="minorHAnsi" w:hAnsiTheme="minorHAnsi"/>
                <w:sz w:val="24"/>
                <w:szCs w:val="24"/>
              </w:rPr>
              <w:lastRenderedPageBreak/>
              <w:t>Analiza ilościowa</w:t>
            </w:r>
          </w:p>
        </w:tc>
      </w:tr>
      <w:tr w:rsidR="00F762C7" w:rsidRPr="00075175" w:rsidTr="00F0564F">
        <w:tc>
          <w:tcPr>
            <w:tcW w:w="9634" w:type="dxa"/>
            <w:shd w:val="clear" w:color="auto" w:fill="D9D9D9" w:themeFill="background1" w:themeFillShade="D9"/>
          </w:tcPr>
          <w:p w:rsidR="00F762C7" w:rsidRPr="00075175" w:rsidRDefault="00F762C7" w:rsidP="00F0564F">
            <w:pPr>
              <w:rPr>
                <w:rFonts w:asciiTheme="minorHAnsi" w:hAnsiTheme="minorHAnsi"/>
                <w:i/>
                <w:sz w:val="24"/>
                <w:szCs w:val="24"/>
              </w:rPr>
            </w:pPr>
            <w:r w:rsidRPr="00075175">
              <w:rPr>
                <w:rFonts w:asciiTheme="minorHAnsi" w:hAnsiTheme="minorHAnsi"/>
                <w:i/>
                <w:sz w:val="24"/>
                <w:szCs w:val="24"/>
              </w:rPr>
              <w:t>Instrukcja: Analiza ilościowa zagadnień związanych z badanym obszarem: Jakie usługi / zadania są realizowane? W jakiej ilości / jakości (parametry obiektywne)? Jakim kosztem (koszty jednostkowe)? Jaka jest ich dostępność dla mieszkańców gminy / powiatu? Zaproponowanie i omówienie wskaźników kontekstowych ważnych dla interpretacji danych ilościowych.</w:t>
            </w:r>
          </w:p>
        </w:tc>
      </w:tr>
      <w:tr w:rsidR="00F762C7" w:rsidRPr="00075175" w:rsidTr="00F0564F">
        <w:trPr>
          <w:trHeight w:val="31"/>
        </w:trPr>
        <w:tc>
          <w:tcPr>
            <w:tcW w:w="9634" w:type="dxa"/>
          </w:tcPr>
          <w:p w:rsidR="00F762C7" w:rsidRPr="00075175" w:rsidRDefault="00F762C7" w:rsidP="00F0564F">
            <w:pPr>
              <w:rPr>
                <w:rFonts w:asciiTheme="minorHAnsi" w:hAnsiTheme="minorHAnsi"/>
                <w:sz w:val="24"/>
                <w:szCs w:val="24"/>
                <w:u w:val="single"/>
              </w:rPr>
            </w:pPr>
            <w:r w:rsidRPr="00075175">
              <w:rPr>
                <w:rFonts w:asciiTheme="minorHAnsi" w:hAnsiTheme="minorHAnsi"/>
                <w:sz w:val="24"/>
                <w:szCs w:val="24"/>
                <w:u w:val="single"/>
              </w:rPr>
              <w:t>Kadra</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t>Przeciętny wiek nauczyciela</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t>Przeciętny staż pracy nauczyciela</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t>Procent nauczycieli dyplomowanych wśród nauczycieli</w:t>
            </w:r>
          </w:p>
          <w:p w:rsidR="00F762C7" w:rsidRPr="00075175" w:rsidRDefault="00F762C7" w:rsidP="00F0564F">
            <w:pPr>
              <w:rPr>
                <w:rFonts w:asciiTheme="minorHAnsi" w:hAnsiTheme="minorHAnsi"/>
                <w:sz w:val="24"/>
                <w:szCs w:val="24"/>
                <w:u w:val="single"/>
              </w:rPr>
            </w:pPr>
            <w:r w:rsidRPr="00075175">
              <w:rPr>
                <w:rFonts w:asciiTheme="minorHAnsi" w:hAnsiTheme="minorHAnsi"/>
                <w:sz w:val="24"/>
                <w:szCs w:val="24"/>
                <w:u w:val="single"/>
              </w:rPr>
              <w:t>Wykorzystanie kadry</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t>Liczba godzin nauczania przypadająca tygodniowo na jednego nauczyciela</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t>Procent pełnozatrudnionych pracowników pedagogicznych</w:t>
            </w:r>
          </w:p>
          <w:p w:rsidR="00F762C7" w:rsidRPr="00075175" w:rsidRDefault="00F762C7" w:rsidP="00F0564F">
            <w:pPr>
              <w:rPr>
                <w:rFonts w:asciiTheme="minorHAnsi" w:hAnsiTheme="minorHAnsi"/>
                <w:sz w:val="24"/>
                <w:szCs w:val="24"/>
                <w:u w:val="single"/>
              </w:rPr>
            </w:pPr>
            <w:r w:rsidRPr="00075175">
              <w:rPr>
                <w:rFonts w:asciiTheme="minorHAnsi" w:hAnsiTheme="minorHAnsi"/>
                <w:sz w:val="24"/>
                <w:szCs w:val="24"/>
                <w:u w:val="single"/>
              </w:rPr>
              <w:t>Wynagrodzenia</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t>Przeciętne miesięczne wynagrodzenie pracownika pedagogicznego</w:t>
            </w:r>
          </w:p>
          <w:p w:rsidR="00F762C7" w:rsidRPr="00075175" w:rsidRDefault="00F762C7" w:rsidP="00F0564F">
            <w:pPr>
              <w:rPr>
                <w:rFonts w:asciiTheme="minorHAnsi" w:hAnsiTheme="minorHAnsi"/>
                <w:sz w:val="24"/>
                <w:szCs w:val="24"/>
                <w:u w:val="single"/>
              </w:rPr>
            </w:pPr>
            <w:r w:rsidRPr="00075175">
              <w:rPr>
                <w:rFonts w:asciiTheme="minorHAnsi" w:hAnsiTheme="minorHAnsi"/>
                <w:sz w:val="24"/>
                <w:szCs w:val="24"/>
                <w:u w:val="single"/>
              </w:rPr>
              <w:t>Doskonalenie nauczycieli</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t>Wydatki na dokształcanie nauczycieli w przeliczeniu na jeden etat nauczycielski</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lastRenderedPageBreak/>
              <w:t>Liczba nauczycieli doradców metodycznych w relacji do liczby nauczycieli</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t>% środków na doskonalenie nauczycieli przeznaczona na studia licencjackie, magisterskie i podyplomowe</w:t>
            </w:r>
          </w:p>
          <w:p w:rsidR="00F762C7" w:rsidRPr="00075175" w:rsidRDefault="00F762C7" w:rsidP="00F0564F">
            <w:pPr>
              <w:rPr>
                <w:rFonts w:asciiTheme="minorHAnsi" w:hAnsiTheme="minorHAnsi"/>
                <w:sz w:val="24"/>
                <w:szCs w:val="24"/>
              </w:rPr>
            </w:pPr>
            <w:r w:rsidRPr="00075175">
              <w:rPr>
                <w:rFonts w:asciiTheme="minorHAnsi" w:hAnsiTheme="minorHAnsi"/>
                <w:sz w:val="24"/>
                <w:szCs w:val="24"/>
                <w:highlight w:val="yellow"/>
              </w:rPr>
              <w:t>[do weryfikacji / uzupełnienia]</w:t>
            </w:r>
          </w:p>
          <w:p w:rsidR="00F762C7" w:rsidRPr="00075175" w:rsidRDefault="00F762C7" w:rsidP="00F0564F">
            <w:pPr>
              <w:rPr>
                <w:rFonts w:asciiTheme="minorHAnsi" w:hAnsiTheme="minorHAnsi"/>
                <w:sz w:val="24"/>
                <w:szCs w:val="24"/>
              </w:rPr>
            </w:pPr>
          </w:p>
          <w:p w:rsidR="00F762C7" w:rsidRPr="00075175" w:rsidRDefault="00F762C7" w:rsidP="00F0564F">
            <w:pPr>
              <w:rPr>
                <w:rFonts w:asciiTheme="minorHAnsi" w:hAnsiTheme="minorHAnsi"/>
                <w:sz w:val="24"/>
                <w:szCs w:val="24"/>
              </w:rPr>
            </w:pPr>
          </w:p>
        </w:tc>
      </w:tr>
      <w:tr w:rsidR="00F762C7" w:rsidRPr="00075175" w:rsidTr="00F0564F">
        <w:tc>
          <w:tcPr>
            <w:tcW w:w="9634" w:type="dxa"/>
          </w:tcPr>
          <w:p w:rsidR="00F762C7" w:rsidRPr="00075175" w:rsidRDefault="00F762C7" w:rsidP="00F0564F">
            <w:pPr>
              <w:pStyle w:val="Nagwek2"/>
              <w:numPr>
                <w:ilvl w:val="0"/>
                <w:numId w:val="6"/>
              </w:numPr>
              <w:outlineLvl w:val="1"/>
              <w:rPr>
                <w:rFonts w:asciiTheme="minorHAnsi" w:hAnsiTheme="minorHAnsi"/>
                <w:sz w:val="24"/>
                <w:szCs w:val="24"/>
              </w:rPr>
            </w:pPr>
            <w:r w:rsidRPr="00075175">
              <w:rPr>
                <w:rFonts w:asciiTheme="minorHAnsi" w:hAnsiTheme="minorHAnsi"/>
                <w:sz w:val="24"/>
                <w:szCs w:val="24"/>
              </w:rPr>
              <w:lastRenderedPageBreak/>
              <w:t>Rola organu prowadzącego</w:t>
            </w:r>
          </w:p>
        </w:tc>
      </w:tr>
      <w:tr w:rsidR="00F762C7" w:rsidRPr="00075175" w:rsidTr="00F0564F">
        <w:tc>
          <w:tcPr>
            <w:tcW w:w="9634" w:type="dxa"/>
            <w:shd w:val="clear" w:color="auto" w:fill="D9D9D9" w:themeFill="background1" w:themeFillShade="D9"/>
          </w:tcPr>
          <w:p w:rsidR="00F762C7" w:rsidRPr="00075175" w:rsidRDefault="00F762C7" w:rsidP="00F0564F">
            <w:pPr>
              <w:rPr>
                <w:rFonts w:asciiTheme="minorHAnsi" w:hAnsiTheme="minorHAnsi"/>
                <w:i/>
                <w:sz w:val="24"/>
                <w:szCs w:val="24"/>
              </w:rPr>
            </w:pPr>
            <w:r w:rsidRPr="00075175">
              <w:rPr>
                <w:rFonts w:asciiTheme="minorHAnsi" w:hAnsiTheme="minorHAnsi"/>
                <w:i/>
                <w:sz w:val="24"/>
                <w:szCs w:val="24"/>
              </w:rPr>
              <w:t>Instrukcja: Prezentacja roli organu prowadzącego w badanym obszarze: cel, zasady i formy możliwego działania wraz z ich charakterystyką oraz przedstawieniem zróżnicowanych podejść i uwarunkowań instytucjonalnych. Wynikiem tej części analizy powinna być lista zadań / funkcji, które powinny być / mogą być realizowane przez JST w tym zakresie.</w:t>
            </w:r>
          </w:p>
        </w:tc>
      </w:tr>
      <w:tr w:rsidR="00F762C7" w:rsidRPr="00075175" w:rsidTr="00F0564F">
        <w:trPr>
          <w:trHeight w:val="28"/>
        </w:trPr>
        <w:tc>
          <w:tcPr>
            <w:tcW w:w="9634" w:type="dxa"/>
          </w:tcPr>
          <w:p w:rsidR="00F762C7" w:rsidRPr="00075175" w:rsidRDefault="00F762C7" w:rsidP="00F0564F">
            <w:pPr>
              <w:rPr>
                <w:rFonts w:asciiTheme="minorHAnsi" w:hAnsiTheme="minorHAnsi"/>
                <w:sz w:val="24"/>
                <w:szCs w:val="24"/>
              </w:rPr>
            </w:pPr>
            <w:r w:rsidRPr="00075175">
              <w:rPr>
                <w:rFonts w:asciiTheme="minorHAnsi" w:hAnsiTheme="minorHAnsi"/>
                <w:sz w:val="24"/>
                <w:szCs w:val="24"/>
              </w:rPr>
              <w:t>Jak wykazały liczne badania, jakość usługi edukacyjnej w ogromnym stopniu zależy od kompetencji merytorycznych i metodycznych nauczycieli oraz ich zaangażowania w proces przekazywania wiedzy. W tym kontekście, niezwykle ważnym elementem lokalnego systemu oświaty są rozwiązania służące motywowaniu i ciągłemu dokształcaniu kadry pedagogicznej szkół i placówek.</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t xml:space="preserve">Podstawową, a zarazem obowiązkową formą motywowania nauczycieli jest przyznawanie dodatku motywacyjnego oraz nagród dyrektora szkoły i organu prowadzącego. Z punktu widzenia skuteczności dodatku jako formy mobilizowania nauczycieli do lepszej pracy istotne jest, w jakim stopniu dodatki oraz przyznawane nagrody wiążą się z osiąganymi przez nich efektami edukacyjnymi. </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t>Organ prowadzący ma możliwość dodatkowego motywowania nauczycieli poprzez stwarzanie im warunków do podejmowania nowych wyzwań – np. organizacja programów i konkursów na poziomie gminy / powiatu lub zachęcanie nauczycieli do udziału w podobnych projektach organizowanych przez inne podmioty.</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t>Ważnym elementem wsparcia nauczycieli w dążeniu do doskonalenia posiadanych przez nich kompetencji i umiejętności jest system dokształcania i doskonalenia. Organ prowadzący ma obowiązek zabezpieczenia funduszy na ten cel w wysokości 1% planowanych rocznych środków przeznaczonych na wynagrodzenia osobowe nauczycieli. Organ prowadzący określa również każdego roku wysokość dofinansowania do studiów licencjackich, magisterskich i doktoranckich, studiów podyplomowych oraz kursów kwalifikacyjnych.</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t xml:space="preserve">Skuteczność tych działań zależeć będzie od tego, czy dany samorząd ogranicza się do pasywnego wypełniania obowiązków ustawowych (np. zapisanie odpowiednich środków we właściwej podziałce klasyfikacji budżetowej), czy wykorzystuje dostępne narzędzia w celu aktywnego kreowania polityki kadrowej w podległych im jednostkach. </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t xml:space="preserve">Wsparcie dla nauczycieli powinno być poprzedzone diagnozą potrzeb szkoły (jako organizacji uczącej się) oraz wspólnym wyznaczeniem przez zespół nauczycieli celów i priorytetów procesu wspomagania. System powinien funkcjonować w sposób efektywny – uwzględniać monitorowanie rezultatów i efektywności kosztowej podejmowanych działań.  </w:t>
            </w:r>
          </w:p>
          <w:p w:rsidR="00F762C7" w:rsidRPr="00075175" w:rsidRDefault="00F762C7" w:rsidP="00F0564F">
            <w:pPr>
              <w:rPr>
                <w:rFonts w:asciiTheme="minorHAnsi" w:hAnsiTheme="minorHAnsi"/>
                <w:sz w:val="24"/>
                <w:szCs w:val="24"/>
              </w:rPr>
            </w:pPr>
            <w:r w:rsidRPr="00075175">
              <w:rPr>
                <w:rFonts w:asciiTheme="minorHAnsi" w:hAnsiTheme="minorHAnsi"/>
                <w:sz w:val="24"/>
                <w:szCs w:val="24"/>
              </w:rPr>
              <w:t xml:space="preserve">Zgodnie z powyższą analizą, w obszarze „wspomagania / motywowanie nauczycieli” można </w:t>
            </w:r>
            <w:r w:rsidRPr="00075175">
              <w:rPr>
                <w:rFonts w:asciiTheme="minorHAnsi" w:hAnsiTheme="minorHAnsi"/>
                <w:sz w:val="24"/>
                <w:szCs w:val="24"/>
              </w:rPr>
              <w:lastRenderedPageBreak/>
              <w:t>wyodrębnić następujące zadania / funkcje JST:</w:t>
            </w:r>
          </w:p>
          <w:p w:rsidR="00F762C7" w:rsidRPr="00075175" w:rsidRDefault="00F762C7" w:rsidP="00F762C7">
            <w:pPr>
              <w:pStyle w:val="Akapitzlist"/>
              <w:numPr>
                <w:ilvl w:val="0"/>
                <w:numId w:val="15"/>
              </w:numPr>
              <w:rPr>
                <w:rFonts w:asciiTheme="minorHAnsi" w:hAnsiTheme="minorHAnsi"/>
                <w:sz w:val="24"/>
                <w:szCs w:val="24"/>
              </w:rPr>
            </w:pPr>
            <w:r w:rsidRPr="00075175">
              <w:rPr>
                <w:rFonts w:asciiTheme="minorHAnsi" w:hAnsiTheme="minorHAnsi"/>
                <w:sz w:val="24"/>
                <w:szCs w:val="24"/>
              </w:rPr>
              <w:t>Motywowanie nauczycieli poprzez ścisłe powiązanie polityki w zakresie dodatków i nagród z osiąganymi przez nich rezultatami edukacyjnymi;</w:t>
            </w:r>
          </w:p>
          <w:p w:rsidR="00F762C7" w:rsidRPr="00075175" w:rsidRDefault="00F762C7" w:rsidP="00F762C7">
            <w:pPr>
              <w:pStyle w:val="Akapitzlist"/>
              <w:numPr>
                <w:ilvl w:val="0"/>
                <w:numId w:val="15"/>
              </w:numPr>
              <w:rPr>
                <w:rFonts w:asciiTheme="minorHAnsi" w:hAnsiTheme="minorHAnsi"/>
                <w:sz w:val="24"/>
                <w:szCs w:val="24"/>
              </w:rPr>
            </w:pPr>
            <w:r w:rsidRPr="00075175">
              <w:rPr>
                <w:rFonts w:asciiTheme="minorHAnsi" w:hAnsiTheme="minorHAnsi"/>
                <w:sz w:val="24"/>
                <w:szCs w:val="24"/>
              </w:rPr>
              <w:t>Stwarzanie warunków do podejmowania przez nauczycieli nowych wyzwań i wchodzenia w nowe obszary aktywności (programy, konkursy, projekty);</w:t>
            </w:r>
          </w:p>
          <w:p w:rsidR="00F762C7" w:rsidRPr="00075175" w:rsidRDefault="00F762C7" w:rsidP="00F762C7">
            <w:pPr>
              <w:pStyle w:val="Akapitzlist"/>
              <w:numPr>
                <w:ilvl w:val="0"/>
                <w:numId w:val="15"/>
              </w:numPr>
              <w:rPr>
                <w:rFonts w:asciiTheme="minorHAnsi" w:hAnsiTheme="minorHAnsi"/>
                <w:sz w:val="24"/>
                <w:szCs w:val="24"/>
              </w:rPr>
            </w:pPr>
            <w:r w:rsidRPr="00075175">
              <w:rPr>
                <w:rFonts w:asciiTheme="minorHAnsi" w:hAnsiTheme="minorHAnsi"/>
                <w:sz w:val="24"/>
                <w:szCs w:val="24"/>
              </w:rPr>
              <w:t>Mobilizowanie nauczycieli do ciągłego podnoszenia swoich kwalifikacji, poprzez sprawnie działający system dokształcania i doskonalenia kadry pedagogicznej.</w:t>
            </w:r>
          </w:p>
          <w:p w:rsidR="00F762C7" w:rsidRPr="00075175" w:rsidRDefault="00F762C7" w:rsidP="00F762C7">
            <w:pPr>
              <w:pStyle w:val="Akapitzlist"/>
              <w:numPr>
                <w:ilvl w:val="0"/>
                <w:numId w:val="15"/>
              </w:numPr>
              <w:rPr>
                <w:rFonts w:asciiTheme="minorHAnsi" w:hAnsiTheme="minorHAnsi"/>
                <w:sz w:val="24"/>
                <w:szCs w:val="24"/>
              </w:rPr>
            </w:pPr>
            <w:r w:rsidRPr="00075175">
              <w:rPr>
                <w:rFonts w:asciiTheme="minorHAnsi" w:hAnsiTheme="minorHAnsi"/>
                <w:sz w:val="24"/>
                <w:szCs w:val="24"/>
              </w:rPr>
              <w:t xml:space="preserve">Powiązanie systemu doskonalenia nauczycieli z priorytetami lokalnej strategii oświatowej oraz procesem realizacji planów pracy szkół / placówek (wspomaganie całej szkoły uwzględniające wyniki ewaluacji, egzaminów i sprawdzianów, podstawę programową i wymagania wynikające z art. 21a ust. 3 ustawy o systemie oświaty). </w:t>
            </w:r>
          </w:p>
          <w:p w:rsidR="00F762C7" w:rsidRPr="00075175" w:rsidRDefault="00F762C7" w:rsidP="00F0564F">
            <w:pPr>
              <w:rPr>
                <w:rFonts w:asciiTheme="minorHAnsi" w:hAnsiTheme="minorHAnsi"/>
                <w:sz w:val="24"/>
                <w:szCs w:val="24"/>
              </w:rPr>
            </w:pPr>
            <w:r w:rsidRPr="00075175">
              <w:rPr>
                <w:rFonts w:asciiTheme="minorHAnsi" w:hAnsiTheme="minorHAnsi"/>
                <w:sz w:val="24"/>
                <w:szCs w:val="24"/>
                <w:highlight w:val="yellow"/>
              </w:rPr>
              <w:t>[do weryfikacji / uzupełnienia]</w:t>
            </w:r>
          </w:p>
          <w:p w:rsidR="00F762C7" w:rsidRPr="00075175" w:rsidRDefault="00F762C7" w:rsidP="00F0564F">
            <w:pPr>
              <w:rPr>
                <w:rFonts w:asciiTheme="minorHAnsi" w:hAnsiTheme="minorHAnsi"/>
                <w:sz w:val="24"/>
                <w:szCs w:val="24"/>
              </w:rPr>
            </w:pPr>
          </w:p>
          <w:p w:rsidR="00F762C7" w:rsidRPr="00075175" w:rsidRDefault="00F762C7" w:rsidP="00F0564F">
            <w:pPr>
              <w:rPr>
                <w:rFonts w:asciiTheme="minorHAnsi" w:hAnsiTheme="minorHAnsi"/>
                <w:sz w:val="24"/>
                <w:szCs w:val="24"/>
              </w:rPr>
            </w:pPr>
          </w:p>
        </w:tc>
      </w:tr>
      <w:tr w:rsidR="00F762C7" w:rsidRPr="00075175" w:rsidTr="00F0564F">
        <w:trPr>
          <w:trHeight w:val="508"/>
        </w:trPr>
        <w:tc>
          <w:tcPr>
            <w:tcW w:w="9634" w:type="dxa"/>
          </w:tcPr>
          <w:p w:rsidR="00F762C7" w:rsidRPr="00075175" w:rsidRDefault="00F762C7" w:rsidP="00F0564F">
            <w:pPr>
              <w:pStyle w:val="Nagwek2"/>
              <w:numPr>
                <w:ilvl w:val="0"/>
                <w:numId w:val="6"/>
              </w:numPr>
              <w:outlineLvl w:val="1"/>
              <w:rPr>
                <w:rFonts w:asciiTheme="minorHAnsi" w:hAnsiTheme="minorHAnsi"/>
                <w:sz w:val="24"/>
                <w:szCs w:val="24"/>
              </w:rPr>
            </w:pPr>
            <w:r w:rsidRPr="00075175">
              <w:rPr>
                <w:rFonts w:asciiTheme="minorHAnsi" w:hAnsiTheme="minorHAnsi"/>
                <w:sz w:val="24"/>
                <w:szCs w:val="24"/>
              </w:rPr>
              <w:lastRenderedPageBreak/>
              <w:t>Narzędzia i rozwiązania zarządcze</w:t>
            </w:r>
          </w:p>
        </w:tc>
      </w:tr>
      <w:tr w:rsidR="00F762C7" w:rsidRPr="00075175" w:rsidTr="00F0564F">
        <w:tc>
          <w:tcPr>
            <w:tcW w:w="9634" w:type="dxa"/>
            <w:shd w:val="clear" w:color="auto" w:fill="D9D9D9" w:themeFill="background1" w:themeFillShade="D9"/>
          </w:tcPr>
          <w:p w:rsidR="00F762C7" w:rsidRPr="00075175" w:rsidRDefault="00F762C7" w:rsidP="00F0564F">
            <w:pPr>
              <w:rPr>
                <w:rFonts w:asciiTheme="minorHAnsi" w:hAnsiTheme="minorHAnsi"/>
                <w:i/>
                <w:sz w:val="24"/>
                <w:szCs w:val="24"/>
              </w:rPr>
            </w:pPr>
            <w:r w:rsidRPr="00075175">
              <w:rPr>
                <w:rFonts w:asciiTheme="minorHAnsi" w:hAnsiTheme="minorHAnsi"/>
                <w:i/>
                <w:sz w:val="24"/>
                <w:szCs w:val="24"/>
              </w:rPr>
              <w:t>Instrukcja: Wykonawca powinien systematycznie opisać znane mu narzędzia i rozwiązania zarządcze wykorzystywane w celu realizacji kluczowych zadań i funkcji organu prowadzącego w danym obszarze. Oczekujemy, że każdej z funkcji wspomnianych w pkt. 3 zostaną przypisane co najmniej 2 różne rozwiązania zarządcze.</w:t>
            </w:r>
          </w:p>
        </w:tc>
      </w:tr>
      <w:tr w:rsidR="00F762C7" w:rsidRPr="00075175" w:rsidTr="00F0564F">
        <w:trPr>
          <w:trHeight w:val="119"/>
        </w:trPr>
        <w:tc>
          <w:tcPr>
            <w:tcW w:w="9634" w:type="dxa"/>
          </w:tcPr>
          <w:p w:rsidR="00F762C7" w:rsidRPr="00075175" w:rsidRDefault="00F762C7" w:rsidP="00F0564F">
            <w:pPr>
              <w:rPr>
                <w:rFonts w:asciiTheme="minorHAnsi" w:hAnsiTheme="minorHAnsi"/>
                <w:sz w:val="24"/>
                <w:szCs w:val="24"/>
              </w:rPr>
            </w:pPr>
            <w:r w:rsidRPr="00075175">
              <w:rPr>
                <w:rFonts w:asciiTheme="minorHAnsi" w:hAnsiTheme="minorHAnsi"/>
                <w:sz w:val="24"/>
                <w:szCs w:val="24"/>
                <w:highlight w:val="yellow"/>
              </w:rPr>
              <w:t>[do uzupełnienia]</w:t>
            </w:r>
          </w:p>
          <w:p w:rsidR="00F762C7" w:rsidRPr="00075175" w:rsidRDefault="00F762C7" w:rsidP="00F0564F">
            <w:pPr>
              <w:rPr>
                <w:rFonts w:asciiTheme="minorHAnsi" w:hAnsiTheme="minorHAnsi"/>
                <w:sz w:val="24"/>
                <w:szCs w:val="24"/>
              </w:rPr>
            </w:pPr>
          </w:p>
          <w:p w:rsidR="00F762C7" w:rsidRPr="00075175" w:rsidRDefault="00F762C7" w:rsidP="00F0564F">
            <w:pPr>
              <w:rPr>
                <w:rFonts w:asciiTheme="minorHAnsi" w:hAnsiTheme="minorHAnsi"/>
                <w:sz w:val="24"/>
                <w:szCs w:val="24"/>
              </w:rPr>
            </w:pPr>
          </w:p>
        </w:tc>
      </w:tr>
      <w:tr w:rsidR="00F762C7" w:rsidRPr="00075175" w:rsidTr="00F0564F">
        <w:tc>
          <w:tcPr>
            <w:tcW w:w="9634" w:type="dxa"/>
          </w:tcPr>
          <w:p w:rsidR="00F762C7" w:rsidRPr="00075175" w:rsidRDefault="00F762C7" w:rsidP="00F0564F">
            <w:pPr>
              <w:pStyle w:val="Nagwek2"/>
              <w:numPr>
                <w:ilvl w:val="0"/>
                <w:numId w:val="6"/>
              </w:numPr>
              <w:outlineLvl w:val="1"/>
              <w:rPr>
                <w:rFonts w:asciiTheme="minorHAnsi" w:hAnsiTheme="minorHAnsi"/>
                <w:sz w:val="24"/>
                <w:szCs w:val="24"/>
              </w:rPr>
            </w:pPr>
            <w:r w:rsidRPr="00075175">
              <w:rPr>
                <w:rFonts w:asciiTheme="minorHAnsi" w:hAnsiTheme="minorHAnsi"/>
                <w:sz w:val="24"/>
                <w:szCs w:val="24"/>
              </w:rPr>
              <w:t>Dobre praktyki</w:t>
            </w:r>
          </w:p>
        </w:tc>
      </w:tr>
      <w:tr w:rsidR="00F762C7" w:rsidRPr="00075175" w:rsidTr="00F0564F">
        <w:tc>
          <w:tcPr>
            <w:tcW w:w="9634" w:type="dxa"/>
            <w:shd w:val="clear" w:color="auto" w:fill="D9D9D9" w:themeFill="background1" w:themeFillShade="D9"/>
          </w:tcPr>
          <w:p w:rsidR="00F762C7" w:rsidRPr="00075175" w:rsidRDefault="00F762C7" w:rsidP="00F0564F">
            <w:pPr>
              <w:rPr>
                <w:rFonts w:asciiTheme="minorHAnsi" w:hAnsiTheme="minorHAnsi"/>
                <w:i/>
                <w:sz w:val="24"/>
                <w:szCs w:val="24"/>
              </w:rPr>
            </w:pPr>
            <w:r w:rsidRPr="00075175">
              <w:rPr>
                <w:rFonts w:asciiTheme="minorHAnsi" w:hAnsiTheme="minorHAnsi"/>
                <w:i/>
                <w:sz w:val="24"/>
                <w:szCs w:val="24"/>
              </w:rPr>
              <w:t>Instrukcja: - Nie zakładamy tworzenia nowych opisów dobrej praktyki. Wykonawca powinien natomiast dokonać przeglądu i analizy dostępnych opracowań oraz dobrać przykłady prezentujące wzorcowe podejście samorządów do zarządzania oświatą w badanym obszarze*. Wybrane praktyki powinny zostać opatrzone komentarzem, wyjaśniającym: Jakiego zadania dotyczą? W jakiej mierze są ilustracją omówionych wcześniej narzędzi? Kto i dlaczego powinien się zapoznać z opisem? Na co ma zwrócić uwagę?</w:t>
            </w:r>
          </w:p>
          <w:p w:rsidR="00F762C7" w:rsidRPr="00075175" w:rsidRDefault="00F762C7" w:rsidP="00F0564F">
            <w:pPr>
              <w:rPr>
                <w:rFonts w:asciiTheme="minorHAnsi" w:hAnsiTheme="minorHAnsi"/>
                <w:i/>
                <w:sz w:val="24"/>
                <w:szCs w:val="24"/>
              </w:rPr>
            </w:pPr>
            <w:r w:rsidRPr="00075175">
              <w:rPr>
                <w:rFonts w:asciiTheme="minorHAnsi" w:hAnsiTheme="minorHAnsi"/>
                <w:i/>
                <w:sz w:val="24"/>
                <w:szCs w:val="24"/>
              </w:rPr>
              <w:t>Oczekujemy, że każde z narzędzi zarządczych omawianych w ramach pkt 4 zostanie zilustrowane odniesieniem do co najmniej dwóch przykładów jego skutecznego zastosowania w samorządach różnego typu. Jeśli dane rozwiązanie nie doczekało się jeszcze pełnej adaptacji w polskich warunkach, możliwe jest podanie wdrożeń częściowych i wzorców zagranicznych.</w:t>
            </w:r>
          </w:p>
          <w:p w:rsidR="00F762C7" w:rsidRPr="00075175" w:rsidRDefault="00F762C7" w:rsidP="00F0564F">
            <w:pPr>
              <w:rPr>
                <w:rFonts w:asciiTheme="minorHAnsi" w:hAnsiTheme="minorHAnsi"/>
                <w:i/>
                <w:sz w:val="24"/>
                <w:szCs w:val="24"/>
              </w:rPr>
            </w:pPr>
            <w:r w:rsidRPr="00075175">
              <w:rPr>
                <w:rFonts w:asciiTheme="minorHAnsi" w:hAnsiTheme="minorHAnsi"/>
                <w:i/>
                <w:sz w:val="24"/>
                <w:szCs w:val="24"/>
              </w:rPr>
              <w:t>* Wykonawca może również wskazać znane mu ośrodki, gdzie wdrażane są innowacyjne rozwiązania, nawet jeśli nie doczekały się one jeszcze publikacji w formie opisu dobrej praktyki. W takim przypadku oczekujemy podania namiarów na osobę kontaktową, która może dostarczyć szczegółowych informacji na ten temat.</w:t>
            </w:r>
          </w:p>
        </w:tc>
      </w:tr>
      <w:tr w:rsidR="00F762C7" w:rsidRPr="00075175" w:rsidTr="00F0564F">
        <w:trPr>
          <w:trHeight w:val="322"/>
        </w:trPr>
        <w:tc>
          <w:tcPr>
            <w:tcW w:w="9634" w:type="dxa"/>
          </w:tcPr>
          <w:p w:rsidR="00F762C7" w:rsidRPr="00075175" w:rsidRDefault="00F762C7" w:rsidP="00F0564F">
            <w:pPr>
              <w:rPr>
                <w:rFonts w:asciiTheme="minorHAnsi" w:hAnsiTheme="minorHAnsi"/>
                <w:sz w:val="24"/>
                <w:szCs w:val="24"/>
              </w:rPr>
            </w:pPr>
            <w:r w:rsidRPr="00075175">
              <w:rPr>
                <w:rFonts w:asciiTheme="minorHAnsi" w:hAnsiTheme="minorHAnsi"/>
                <w:sz w:val="24"/>
                <w:szCs w:val="24"/>
                <w:highlight w:val="yellow"/>
              </w:rPr>
              <w:lastRenderedPageBreak/>
              <w:t>[do uzupełnienia]</w:t>
            </w:r>
          </w:p>
          <w:p w:rsidR="00F762C7" w:rsidRPr="00075175" w:rsidRDefault="00F762C7" w:rsidP="00F0564F">
            <w:pPr>
              <w:rPr>
                <w:rFonts w:asciiTheme="minorHAnsi" w:hAnsiTheme="minorHAnsi"/>
                <w:sz w:val="24"/>
                <w:szCs w:val="24"/>
              </w:rPr>
            </w:pPr>
          </w:p>
          <w:p w:rsidR="00F762C7" w:rsidRPr="00075175" w:rsidRDefault="00F762C7" w:rsidP="00F0564F">
            <w:pPr>
              <w:rPr>
                <w:rFonts w:asciiTheme="minorHAnsi" w:hAnsiTheme="minorHAnsi"/>
                <w:sz w:val="24"/>
                <w:szCs w:val="24"/>
              </w:rPr>
            </w:pPr>
          </w:p>
        </w:tc>
      </w:tr>
      <w:tr w:rsidR="00F762C7" w:rsidRPr="00075175" w:rsidTr="00F0564F">
        <w:tc>
          <w:tcPr>
            <w:tcW w:w="9634" w:type="dxa"/>
          </w:tcPr>
          <w:p w:rsidR="00F762C7" w:rsidRPr="00075175" w:rsidRDefault="00F762C7" w:rsidP="00F0564F">
            <w:pPr>
              <w:pStyle w:val="Nagwek2"/>
              <w:numPr>
                <w:ilvl w:val="0"/>
                <w:numId w:val="6"/>
              </w:numPr>
              <w:outlineLvl w:val="1"/>
              <w:rPr>
                <w:rFonts w:asciiTheme="minorHAnsi" w:hAnsiTheme="minorHAnsi"/>
                <w:sz w:val="24"/>
                <w:szCs w:val="24"/>
              </w:rPr>
            </w:pPr>
            <w:r w:rsidRPr="00075175">
              <w:rPr>
                <w:rFonts w:asciiTheme="minorHAnsi" w:hAnsiTheme="minorHAnsi"/>
                <w:sz w:val="24"/>
                <w:szCs w:val="24"/>
              </w:rPr>
              <w:t>Analiza kluczowych problemów</w:t>
            </w:r>
          </w:p>
        </w:tc>
      </w:tr>
      <w:tr w:rsidR="00F762C7" w:rsidRPr="00075175" w:rsidTr="00F0564F">
        <w:tc>
          <w:tcPr>
            <w:tcW w:w="9634" w:type="dxa"/>
            <w:shd w:val="clear" w:color="auto" w:fill="D9D9D9" w:themeFill="background1" w:themeFillShade="D9"/>
          </w:tcPr>
          <w:p w:rsidR="00F762C7" w:rsidRPr="00075175" w:rsidRDefault="00F762C7" w:rsidP="00F0564F">
            <w:pPr>
              <w:rPr>
                <w:rFonts w:asciiTheme="minorHAnsi" w:hAnsiTheme="minorHAnsi"/>
                <w:i/>
                <w:sz w:val="24"/>
                <w:szCs w:val="24"/>
              </w:rPr>
            </w:pPr>
            <w:r w:rsidRPr="00075175">
              <w:rPr>
                <w:rFonts w:asciiTheme="minorHAnsi" w:hAnsiTheme="minorHAnsi"/>
                <w:i/>
                <w:sz w:val="24"/>
                <w:szCs w:val="24"/>
              </w:rPr>
              <w:t>Instrukcja: Wykonawca powinien wskazać kluczowe bariery utrudniające prawidłową realizację funkcji i zadań wymienionych pkt 3. (np. Ograniczenia mogą wynikać z uwarunkowań prawnych i systemowych, wiązać się z postawami lub kompetencjami kadry zarządzającej, brakiem odpowiednich zasobów, uwarunkowaniami instytucjonalnymi, itp.) Oczekuje się, że Wykonawca oceni względną wagę danego problemu, zidentyfikuje jego źródła oraz zaproponuje kierunki działań, które należałoby podjąć w celu jego rozwiązania.</w:t>
            </w:r>
          </w:p>
        </w:tc>
      </w:tr>
      <w:tr w:rsidR="00F762C7" w:rsidRPr="00075175" w:rsidTr="00F0564F">
        <w:trPr>
          <w:trHeight w:val="963"/>
        </w:trPr>
        <w:tc>
          <w:tcPr>
            <w:tcW w:w="9634" w:type="dxa"/>
          </w:tcPr>
          <w:p w:rsidR="00F762C7" w:rsidRPr="00075175" w:rsidRDefault="00F762C7" w:rsidP="00F0564F">
            <w:pPr>
              <w:rPr>
                <w:rFonts w:asciiTheme="minorHAnsi" w:hAnsiTheme="minorHAnsi"/>
                <w:sz w:val="24"/>
                <w:szCs w:val="24"/>
              </w:rPr>
            </w:pPr>
            <w:r w:rsidRPr="00075175">
              <w:rPr>
                <w:rFonts w:asciiTheme="minorHAnsi" w:hAnsiTheme="minorHAnsi"/>
                <w:sz w:val="24"/>
                <w:szCs w:val="24"/>
                <w:highlight w:val="yellow"/>
              </w:rPr>
              <w:t>[do uzupełnienia]</w:t>
            </w:r>
          </w:p>
          <w:p w:rsidR="00F762C7" w:rsidRPr="00075175" w:rsidRDefault="00F762C7" w:rsidP="00F0564F">
            <w:pPr>
              <w:rPr>
                <w:rFonts w:asciiTheme="minorHAnsi" w:hAnsiTheme="minorHAnsi"/>
                <w:sz w:val="24"/>
                <w:szCs w:val="24"/>
              </w:rPr>
            </w:pPr>
          </w:p>
          <w:p w:rsidR="00F762C7" w:rsidRPr="00075175" w:rsidRDefault="00F762C7" w:rsidP="00F0564F">
            <w:pPr>
              <w:rPr>
                <w:rFonts w:asciiTheme="minorHAnsi" w:hAnsiTheme="minorHAnsi"/>
                <w:sz w:val="24"/>
                <w:szCs w:val="24"/>
              </w:rPr>
            </w:pPr>
          </w:p>
        </w:tc>
      </w:tr>
      <w:tr w:rsidR="00F762C7" w:rsidRPr="00075175" w:rsidTr="00F0564F">
        <w:tc>
          <w:tcPr>
            <w:tcW w:w="9634" w:type="dxa"/>
          </w:tcPr>
          <w:p w:rsidR="00F762C7" w:rsidRPr="00075175" w:rsidRDefault="00F762C7" w:rsidP="00F0564F">
            <w:pPr>
              <w:pStyle w:val="Nagwek2"/>
              <w:numPr>
                <w:ilvl w:val="0"/>
                <w:numId w:val="6"/>
              </w:numPr>
              <w:outlineLvl w:val="1"/>
              <w:rPr>
                <w:rFonts w:asciiTheme="minorHAnsi" w:hAnsiTheme="minorHAnsi"/>
                <w:sz w:val="24"/>
                <w:szCs w:val="24"/>
              </w:rPr>
            </w:pPr>
            <w:r w:rsidRPr="00075175">
              <w:rPr>
                <w:rFonts w:asciiTheme="minorHAnsi" w:hAnsiTheme="minorHAnsi"/>
                <w:sz w:val="24"/>
                <w:szCs w:val="24"/>
              </w:rPr>
              <w:t>Trendy i tendencje w rozwoju obszaru</w:t>
            </w:r>
          </w:p>
        </w:tc>
      </w:tr>
      <w:tr w:rsidR="00F762C7" w:rsidRPr="00075175" w:rsidTr="00F0564F">
        <w:tc>
          <w:tcPr>
            <w:tcW w:w="9634" w:type="dxa"/>
            <w:shd w:val="clear" w:color="auto" w:fill="D9D9D9" w:themeFill="background1" w:themeFillShade="D9"/>
          </w:tcPr>
          <w:p w:rsidR="00F762C7" w:rsidRPr="00075175" w:rsidRDefault="00F762C7" w:rsidP="00F0564F">
            <w:pPr>
              <w:rPr>
                <w:rFonts w:asciiTheme="minorHAnsi" w:hAnsiTheme="minorHAnsi"/>
                <w:i/>
                <w:sz w:val="24"/>
                <w:szCs w:val="24"/>
              </w:rPr>
            </w:pPr>
            <w:r w:rsidRPr="00075175">
              <w:rPr>
                <w:rFonts w:asciiTheme="minorHAnsi" w:hAnsiTheme="minorHAnsi"/>
                <w:i/>
                <w:sz w:val="24"/>
                <w:szCs w:val="24"/>
              </w:rPr>
              <w:t>Instrukcja: W oparciu o przegląd dostępnej literatury Wykonawca zaprezentuje krótko najciekawsze zjawiska, tendencje i prawidłowości obserwowane w Polsce i za granicą w zakresie zarządzania oświatą w analizowanym obszarze. Porówna je między sobą i z dominującą w kraju praktyką. Oczekuje się, że przegląd zostanie uzupełniony bibliografią wykorzystanych publikacji oraz linkami do witryn ośrodków – aktywnych w zakresie wspomnianych w tekście innowacji i prac koncepcyjnych.</w:t>
            </w:r>
          </w:p>
        </w:tc>
      </w:tr>
      <w:tr w:rsidR="00F762C7" w:rsidRPr="00075175" w:rsidTr="00F0564F">
        <w:trPr>
          <w:trHeight w:val="66"/>
        </w:trPr>
        <w:tc>
          <w:tcPr>
            <w:tcW w:w="9634" w:type="dxa"/>
          </w:tcPr>
          <w:p w:rsidR="00F762C7" w:rsidRPr="00075175" w:rsidRDefault="00F762C7" w:rsidP="00F0564F">
            <w:pPr>
              <w:rPr>
                <w:rFonts w:asciiTheme="minorHAnsi" w:hAnsiTheme="minorHAnsi"/>
                <w:sz w:val="24"/>
                <w:szCs w:val="24"/>
              </w:rPr>
            </w:pPr>
            <w:r w:rsidRPr="00075175">
              <w:rPr>
                <w:rFonts w:asciiTheme="minorHAnsi" w:hAnsiTheme="minorHAnsi"/>
                <w:sz w:val="24"/>
                <w:szCs w:val="24"/>
                <w:highlight w:val="yellow"/>
              </w:rPr>
              <w:t>[do uzupełnienia]</w:t>
            </w:r>
          </w:p>
          <w:p w:rsidR="00F762C7" w:rsidRPr="00075175" w:rsidRDefault="00F762C7" w:rsidP="00F0564F">
            <w:pPr>
              <w:rPr>
                <w:rFonts w:asciiTheme="minorHAnsi" w:hAnsiTheme="minorHAnsi"/>
                <w:sz w:val="24"/>
                <w:szCs w:val="24"/>
              </w:rPr>
            </w:pPr>
          </w:p>
          <w:p w:rsidR="00F762C7" w:rsidRPr="00075175" w:rsidRDefault="00F762C7" w:rsidP="00F0564F">
            <w:pPr>
              <w:rPr>
                <w:rFonts w:asciiTheme="minorHAnsi" w:hAnsiTheme="minorHAnsi"/>
                <w:sz w:val="24"/>
                <w:szCs w:val="24"/>
              </w:rPr>
            </w:pPr>
          </w:p>
        </w:tc>
      </w:tr>
    </w:tbl>
    <w:p w:rsidR="00F762C7" w:rsidRPr="00075175" w:rsidRDefault="00F762C7" w:rsidP="00F762C7">
      <w:pPr>
        <w:rPr>
          <w:rFonts w:asciiTheme="minorHAnsi" w:hAnsiTheme="minorHAnsi"/>
          <w:sz w:val="24"/>
          <w:szCs w:val="24"/>
        </w:rPr>
      </w:pPr>
    </w:p>
    <w:p w:rsidR="001A12CF" w:rsidRPr="00075175" w:rsidRDefault="001A12CF" w:rsidP="001A12CF">
      <w:pPr>
        <w:pStyle w:val="Nagwek1"/>
        <w:rPr>
          <w:rFonts w:asciiTheme="minorHAnsi" w:hAnsiTheme="minorHAnsi"/>
          <w:szCs w:val="24"/>
        </w:rPr>
      </w:pPr>
      <w:r w:rsidRPr="00075175">
        <w:rPr>
          <w:rFonts w:asciiTheme="minorHAnsi" w:hAnsiTheme="minorHAnsi"/>
          <w:szCs w:val="24"/>
        </w:rPr>
        <w:br w:type="page"/>
      </w:r>
    </w:p>
    <w:p w:rsidR="001A12CF" w:rsidRPr="00075175" w:rsidRDefault="001A12CF" w:rsidP="00826F75">
      <w:pPr>
        <w:rPr>
          <w:rFonts w:asciiTheme="minorHAnsi" w:hAnsiTheme="minorHAnsi"/>
          <w:sz w:val="24"/>
          <w:szCs w:val="24"/>
        </w:rPr>
      </w:pPr>
    </w:p>
    <w:tbl>
      <w:tblPr>
        <w:tblStyle w:val="Tabela-Siatka"/>
        <w:tblW w:w="9634" w:type="dxa"/>
        <w:tblLayout w:type="fixed"/>
        <w:tblCellMar>
          <w:top w:w="57" w:type="dxa"/>
          <w:left w:w="85" w:type="dxa"/>
          <w:bottom w:w="57" w:type="dxa"/>
          <w:right w:w="85" w:type="dxa"/>
        </w:tblCellMar>
        <w:tblLook w:val="04A0"/>
      </w:tblPr>
      <w:tblGrid>
        <w:gridCol w:w="9634"/>
      </w:tblGrid>
      <w:tr w:rsidR="001A12CF" w:rsidRPr="00075175" w:rsidTr="001A12CF">
        <w:tc>
          <w:tcPr>
            <w:tcW w:w="9634" w:type="dxa"/>
          </w:tcPr>
          <w:p w:rsidR="00C60611" w:rsidRPr="00075175" w:rsidRDefault="00C60611" w:rsidP="00C60611">
            <w:pPr>
              <w:rPr>
                <w:rFonts w:asciiTheme="minorHAnsi" w:hAnsiTheme="minorHAnsi"/>
                <w:b/>
                <w:sz w:val="24"/>
                <w:szCs w:val="24"/>
              </w:rPr>
            </w:pPr>
            <w:r w:rsidRPr="00075175">
              <w:rPr>
                <w:rFonts w:asciiTheme="minorHAnsi" w:hAnsiTheme="minorHAnsi"/>
                <w:b/>
                <w:sz w:val="24"/>
                <w:szCs w:val="24"/>
              </w:rPr>
              <w:t>Wsparcie kadry jednostek samorządu terytorialnego w zarządzaniu oświatą ukierunkowanym na rozwój szkół i kompetencji kluczowych uczniów  (POWR.02.10.00-IP.02-00-003/15)</w:t>
            </w:r>
          </w:p>
          <w:p w:rsidR="00C60611" w:rsidRPr="00075175" w:rsidRDefault="00C60611" w:rsidP="00C60611">
            <w:pPr>
              <w:pStyle w:val="Tytu"/>
              <w:rPr>
                <w:rFonts w:asciiTheme="minorHAnsi" w:hAnsiTheme="minorHAnsi"/>
                <w:sz w:val="24"/>
                <w:szCs w:val="24"/>
              </w:rPr>
            </w:pPr>
            <w:r w:rsidRPr="00075175">
              <w:rPr>
                <w:rFonts w:asciiTheme="minorHAnsi" w:hAnsiTheme="minorHAnsi"/>
                <w:sz w:val="24"/>
                <w:szCs w:val="24"/>
              </w:rPr>
              <w:t xml:space="preserve">Strategiczny przegląd sytuacji w obszarze 6: </w:t>
            </w:r>
          </w:p>
          <w:p w:rsidR="001A12CF" w:rsidRPr="00075175" w:rsidRDefault="001A12CF" w:rsidP="001A12CF">
            <w:pPr>
              <w:pStyle w:val="Nagwek1"/>
              <w:spacing w:before="0"/>
              <w:outlineLvl w:val="0"/>
              <w:rPr>
                <w:rFonts w:asciiTheme="minorHAnsi" w:hAnsiTheme="minorHAnsi"/>
                <w:szCs w:val="24"/>
              </w:rPr>
            </w:pPr>
            <w:bookmarkStart w:id="0" w:name="_Toc494887093"/>
            <w:r w:rsidRPr="00075175">
              <w:rPr>
                <w:rFonts w:asciiTheme="minorHAnsi" w:hAnsiTheme="minorHAnsi"/>
                <w:szCs w:val="24"/>
              </w:rPr>
              <w:t>Organizacja doradztwa zawodowego dla uczniów</w:t>
            </w:r>
            <w:bookmarkEnd w:id="0"/>
          </w:p>
        </w:tc>
      </w:tr>
      <w:tr w:rsidR="001A12CF" w:rsidRPr="00075175" w:rsidTr="001A12CF">
        <w:tc>
          <w:tcPr>
            <w:tcW w:w="9634" w:type="dxa"/>
          </w:tcPr>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0"/>
              </w:numPr>
              <w:outlineLvl w:val="1"/>
              <w:rPr>
                <w:rFonts w:asciiTheme="minorHAnsi" w:hAnsiTheme="minorHAnsi"/>
                <w:sz w:val="24"/>
                <w:szCs w:val="24"/>
              </w:rPr>
            </w:pPr>
            <w:r w:rsidRPr="00075175">
              <w:rPr>
                <w:rFonts w:asciiTheme="minorHAnsi" w:hAnsiTheme="minorHAnsi"/>
                <w:sz w:val="24"/>
                <w:szCs w:val="24"/>
              </w:rPr>
              <w:t>Podstawa prawna działania samorządu w tym obszarze</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Omówienie aktualnej podstawy prawnej działania samorządu w analizowanym obszarze, w tym aktualnych regulacji i podejmowanych inicjatyw legislacyjnych (jeśli dotyczy). Jeśli w okresie realizacji zlecenia prowadzone będą prace parlamentarne nad zmianami obowiązującego prawa, ocena ich wpływu na sposób realizacji przez JST zadań oświatowych.</w:t>
            </w:r>
          </w:p>
        </w:tc>
      </w:tr>
      <w:tr w:rsidR="001A12CF" w:rsidRPr="00075175" w:rsidTr="001A12CF">
        <w:trPr>
          <w:trHeight w:val="2111"/>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rPr>
              <w:t>Zgodnie z art. 1 pkt 17-19 ustawy Prawo oświatowe system oświaty zapewnia w szczególności m.in.: dostosowywanie kierunków i treści kształcenia do wymogów rynku pracy, kształtowanie u uczniów postaw przedsiębiorczości i kreatywności sprzyjających aktywnemu uczestnictwu w życiu gospodarczym, w tym poprzez stosowanie w procesie kształcenia innowacyjnych rozwiązań programowych, organizacyjnych lub metodycznych oraz przygotowywanie uczniów do wyboru zawodu i kierunku kształcenia.</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 xml:space="preserve">W myśl art. 109 ust. 1 pkt 7 ustawy – Prawo oświatowe jedną z podstawowych form działalności dydaktyczno-wychowawczej szkoły są zajęcia z zakresu doradztwa zawodowego. Zajęcia te są organizowane dla uczniów klasy VII i VIII szkoły podstawowej, branżowej szkoły I stopnia, liceum ogólnokształcącego i technikum (ust. 6). Ponadto są one realizowane niezależnie od pomocy w wyborze kierunku kształcenia i zawodu udzielanej uczniom podczas zajęć prowadzonych w ramach pomocy psychologiczno-pedagogicznej (ust. 7). </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W rozporządzeniu Ministra Edukacji Narodowej z dnia 28 marca 2017 r. w sprawie ramowych planów nauczania dla publicznych szkół określono minimalny wymiar godzin zajęć z zakresu doradztwa zawodowego. Ponadto dyrektor szkoły, uwzględniając ramowy plan nauczania, ustala dla poszczególnych klas i oddziałów tygodniowy rozkład zajęć, a w szkołach dla dorosłych prowadzących zajęcia w formie zaocznej - semestralny rozkład zajęć m.in. z zakresu doradztwa zawodowego (</w:t>
            </w:r>
            <w:r w:rsidRPr="00075175">
              <w:rPr>
                <w:rFonts w:asciiTheme="minorHAnsi" w:hAnsiTheme="minorHAnsi" w:cs="Arial"/>
                <w:sz w:val="24"/>
                <w:szCs w:val="24"/>
              </w:rPr>
              <w:t>§</w:t>
            </w:r>
            <w:r w:rsidRPr="00075175">
              <w:rPr>
                <w:rFonts w:asciiTheme="minorHAnsi" w:hAnsiTheme="minorHAnsi"/>
                <w:sz w:val="24"/>
                <w:szCs w:val="24"/>
              </w:rPr>
              <w:t xml:space="preserve">4 powołanego rozporządzenia). </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 xml:space="preserve">Realizowane w szkołach doradztwo edukacyjno-zawodowe, organizowane jest w ramach wewnątrzszkolnego systemu doradztwa zawodowego wchodzącego w zakres statutu szkoły (art. 98 ust. 1 ustawy – Prawo oświatowe). </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 xml:space="preserve">Szczegółowe wytyczne realizacji doradztwa zawodowego zostaną określone w rozporządzeniu, nie później niż do 1 września 2018 r., wtedy bowiem  wchodzi w życie przepis art. 47 pkt 4 ustawy – Prawo oświatowe zgodnie z którym w rozporządzeniu zostaną określone treści programowe z zakresu doradztwa zawodowego, warunki i sposób realizacji i organizacji doradztwa zawodowego w szkołach i placówkach, o których mowa w art. 2 pkt 4, oraz wymagania w zakresie przygotowania osób realizujących doradztwo zawodowe w szkołach i placówkach, o których mowa w art. 2 pkt 4, uwzględniając rolę doradztwa zawodowego we </w:t>
            </w:r>
            <w:r w:rsidRPr="00075175">
              <w:rPr>
                <w:rFonts w:asciiTheme="minorHAnsi" w:hAnsiTheme="minorHAnsi"/>
                <w:sz w:val="24"/>
                <w:szCs w:val="24"/>
              </w:rPr>
              <w:lastRenderedPageBreak/>
              <w:t xml:space="preserve">wspieraniu uczniów i słuchaczy w procesie podejmowania decyzji edukacyjnych i zawodowych. </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Natomiast w roku szkolnym 2017/2018 zajęcia z zakresu doradztwa zawodowego są realizowane w oparciu o program przygotowany przez nauczyciela realizującego te zajęcia i dopuszczony do użytku przez dyrektora szkoły, po zasięgnięciu opinii rady pedagogicznej (art. 292 ustawy – Przepisy wprowadzające ustawę – Prawo oświatowe).</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Pomocy psychologiczno-pedagogicznej w przedszkolu, szkole i placówce udzielają uczniom m.in. doradcy zawodowi (</w:t>
            </w:r>
            <w:r w:rsidRPr="00075175">
              <w:rPr>
                <w:rFonts w:asciiTheme="minorHAnsi" w:hAnsiTheme="minorHAnsi" w:cs="Arial"/>
                <w:sz w:val="24"/>
                <w:szCs w:val="24"/>
              </w:rPr>
              <w:t>§</w:t>
            </w:r>
            <w:r w:rsidRPr="00075175">
              <w:rPr>
                <w:rFonts w:asciiTheme="minorHAnsi" w:hAnsiTheme="minorHAnsi"/>
                <w:sz w:val="24"/>
                <w:szCs w:val="24"/>
              </w:rPr>
              <w:t xml:space="preserve">4 ust. 2 rozporządzenia z dnia 9 sierpnia 2017 r. w sprawie zasad organizacji i udzielania pomocy psychologiczno-pedagogicznej w publicznych przedszkolach, szkołach i placówkach). Powołane rozporządzenie w </w:t>
            </w:r>
            <w:r w:rsidRPr="00075175">
              <w:rPr>
                <w:rFonts w:asciiTheme="minorHAnsi" w:hAnsiTheme="minorHAnsi" w:cs="Arial"/>
                <w:sz w:val="24"/>
                <w:szCs w:val="24"/>
              </w:rPr>
              <w:t>§6 ust. 2 i 3</w:t>
            </w:r>
            <w:r w:rsidRPr="00075175">
              <w:rPr>
                <w:rFonts w:asciiTheme="minorHAnsi" w:hAnsiTheme="minorHAnsi"/>
                <w:sz w:val="24"/>
                <w:szCs w:val="24"/>
              </w:rPr>
              <w:t xml:space="preserve"> określa, że w szkole i placówce pomoc psychologiczno-pedagogiczna jest udzielana także w formie m.in. zajęć związanych z wyborem kierunku kształcenia i zawodu - w przypadku uczniów szkół podstawowych oraz uczniów szkół ponadpodstawowych. Zgodnie z </w:t>
            </w:r>
            <w:r w:rsidRPr="00075175">
              <w:rPr>
                <w:rFonts w:asciiTheme="minorHAnsi" w:hAnsiTheme="minorHAnsi" w:cs="Arial"/>
                <w:sz w:val="24"/>
                <w:szCs w:val="24"/>
              </w:rPr>
              <w:t>§</w:t>
            </w:r>
            <w:r w:rsidRPr="00075175">
              <w:rPr>
                <w:rFonts w:asciiTheme="minorHAnsi" w:hAnsiTheme="minorHAnsi"/>
                <w:sz w:val="24"/>
                <w:szCs w:val="24"/>
              </w:rPr>
              <w:t xml:space="preserve">18 rozporządzenia w przypadku </w:t>
            </w:r>
            <w:r w:rsidRPr="00075175">
              <w:rPr>
                <w:rFonts w:asciiTheme="minorHAnsi" w:hAnsiTheme="minorHAnsi"/>
                <w:i/>
                <w:iCs/>
                <w:sz w:val="24"/>
                <w:szCs w:val="24"/>
              </w:rPr>
              <w:t>szkoły</w:t>
            </w:r>
            <w:r w:rsidRPr="00075175">
              <w:rPr>
                <w:rFonts w:asciiTheme="minorHAnsi" w:hAnsiTheme="minorHAnsi"/>
                <w:sz w:val="24"/>
                <w:szCs w:val="24"/>
              </w:rPr>
              <w:t xml:space="preserve"> podstawowej, branżowej </w:t>
            </w:r>
            <w:r w:rsidRPr="00075175">
              <w:rPr>
                <w:rFonts w:asciiTheme="minorHAnsi" w:hAnsiTheme="minorHAnsi"/>
                <w:i/>
                <w:iCs/>
                <w:sz w:val="24"/>
                <w:szCs w:val="24"/>
              </w:rPr>
              <w:t>szkoły</w:t>
            </w:r>
            <w:r w:rsidRPr="00075175">
              <w:rPr>
                <w:rFonts w:asciiTheme="minorHAnsi" w:hAnsiTheme="minorHAnsi"/>
                <w:sz w:val="24"/>
                <w:szCs w:val="24"/>
              </w:rPr>
              <w:t xml:space="preserve"> I stopnia, liceum ogólnokształcącego i technikum, a od 1 września 2018 także placówek o których mowa w art. 2 pkt 4 ustawy – Prawo oświatowe, zajęcia związane z wyborem kierunku kształcenia i zawodu uzupełniają działania </w:t>
            </w:r>
            <w:r w:rsidRPr="00075175">
              <w:rPr>
                <w:rFonts w:asciiTheme="minorHAnsi" w:hAnsiTheme="minorHAnsi"/>
                <w:iCs/>
                <w:sz w:val="24"/>
                <w:szCs w:val="24"/>
              </w:rPr>
              <w:t>szkoły</w:t>
            </w:r>
            <w:r w:rsidRPr="00075175">
              <w:rPr>
                <w:rFonts w:asciiTheme="minorHAnsi" w:hAnsiTheme="minorHAnsi"/>
                <w:sz w:val="24"/>
                <w:szCs w:val="24"/>
              </w:rPr>
              <w:t xml:space="preserve"> i </w:t>
            </w:r>
            <w:r w:rsidRPr="00075175">
              <w:rPr>
                <w:rFonts w:asciiTheme="minorHAnsi" w:hAnsiTheme="minorHAnsi"/>
                <w:iCs/>
                <w:sz w:val="24"/>
                <w:szCs w:val="24"/>
              </w:rPr>
              <w:t>placówki</w:t>
            </w:r>
            <w:r w:rsidRPr="00075175">
              <w:rPr>
                <w:rFonts w:asciiTheme="minorHAnsi" w:hAnsiTheme="minorHAnsi"/>
                <w:sz w:val="24"/>
                <w:szCs w:val="24"/>
              </w:rPr>
              <w:t xml:space="preserve"> w zakresie doradztwa zawodowego.</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 xml:space="preserve">Powołane rozporządzenie w §  26 określa zadania doradcy zawodowego do których należy w szczególności: 1) systematyczne diagnozowanie zapotrzebowania uczniów na informacje edukacyjne i zawodowe oraz </w:t>
            </w:r>
            <w:r w:rsidRPr="00075175">
              <w:rPr>
                <w:rFonts w:asciiTheme="minorHAnsi" w:hAnsiTheme="minorHAnsi"/>
                <w:i/>
                <w:iCs/>
                <w:sz w:val="24"/>
                <w:szCs w:val="24"/>
              </w:rPr>
              <w:t>pomoc</w:t>
            </w:r>
            <w:r w:rsidRPr="00075175">
              <w:rPr>
                <w:rFonts w:asciiTheme="minorHAnsi" w:hAnsiTheme="minorHAnsi"/>
                <w:sz w:val="24"/>
                <w:szCs w:val="24"/>
              </w:rPr>
              <w:t xml:space="preserve"> w planowaniu kształcenia i kariery zawodowej; 2) gromadzenie, aktualizacja i udostępnianie informacji edukacyjnych i zawodowych właściwych dla danego poziomu kształcenia; 3) prowadzenie zajęć związanych z wyborem kierunku kształcenia i zawodu z uwzględnieniem rozpoznanych mocnych stron, predyspozycji, zainteresowań i uzdolnień uczniów; 4) koordynowanie działalności informacyjno-doradczej prowadzonej przez </w:t>
            </w:r>
            <w:r w:rsidRPr="00075175">
              <w:rPr>
                <w:rFonts w:asciiTheme="minorHAnsi" w:hAnsiTheme="minorHAnsi"/>
                <w:iCs/>
                <w:sz w:val="24"/>
                <w:szCs w:val="24"/>
              </w:rPr>
              <w:t>szkołę</w:t>
            </w:r>
            <w:r w:rsidRPr="00075175">
              <w:rPr>
                <w:rFonts w:asciiTheme="minorHAnsi" w:hAnsiTheme="minorHAnsi"/>
                <w:sz w:val="24"/>
                <w:szCs w:val="24"/>
              </w:rPr>
              <w:t xml:space="preserve"> i </w:t>
            </w:r>
            <w:r w:rsidRPr="00075175">
              <w:rPr>
                <w:rFonts w:asciiTheme="minorHAnsi" w:hAnsiTheme="minorHAnsi"/>
                <w:iCs/>
                <w:sz w:val="24"/>
                <w:szCs w:val="24"/>
              </w:rPr>
              <w:t>placówkę</w:t>
            </w:r>
            <w:r w:rsidRPr="00075175">
              <w:rPr>
                <w:rFonts w:asciiTheme="minorHAnsi" w:hAnsiTheme="minorHAnsi"/>
                <w:sz w:val="24"/>
                <w:szCs w:val="24"/>
              </w:rPr>
              <w:t xml:space="preserve">; 5) współpraca z innymi nauczycielami w tworzeniu i zapewnieniu ciągłości działań w zakresie zajęć związanych z wyborem kierunku kształcenia i zawodu; 6) wspieranie nauczycieli, wychowawców grup wychowawczych i innych specjalistów w </w:t>
            </w:r>
            <w:r w:rsidRPr="00075175">
              <w:rPr>
                <w:rFonts w:asciiTheme="minorHAnsi" w:hAnsiTheme="minorHAnsi"/>
                <w:iCs/>
                <w:sz w:val="24"/>
                <w:szCs w:val="24"/>
              </w:rPr>
              <w:t>udzielaniu pomocy psychologiczno-pedagogicznej</w:t>
            </w:r>
            <w:r w:rsidRPr="00075175">
              <w:rPr>
                <w:rFonts w:asciiTheme="minorHAnsi" w:hAnsiTheme="minorHAnsi"/>
                <w:sz w:val="24"/>
                <w:szCs w:val="24"/>
              </w:rPr>
              <w:t>.</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 xml:space="preserve">W przypadku braku doradcy zawodowego w </w:t>
            </w:r>
            <w:r w:rsidRPr="00075175">
              <w:rPr>
                <w:rFonts w:asciiTheme="minorHAnsi" w:hAnsiTheme="minorHAnsi"/>
                <w:iCs/>
                <w:sz w:val="24"/>
                <w:szCs w:val="24"/>
              </w:rPr>
              <w:t>szkole</w:t>
            </w:r>
            <w:r w:rsidRPr="00075175">
              <w:rPr>
                <w:rFonts w:asciiTheme="minorHAnsi" w:hAnsiTheme="minorHAnsi"/>
                <w:sz w:val="24"/>
                <w:szCs w:val="24"/>
              </w:rPr>
              <w:t xml:space="preserve"> lub </w:t>
            </w:r>
            <w:r w:rsidRPr="00075175">
              <w:rPr>
                <w:rFonts w:asciiTheme="minorHAnsi" w:hAnsiTheme="minorHAnsi"/>
                <w:iCs/>
                <w:sz w:val="24"/>
                <w:szCs w:val="24"/>
              </w:rPr>
              <w:t>placówce</w:t>
            </w:r>
            <w:r w:rsidRPr="00075175">
              <w:rPr>
                <w:rFonts w:asciiTheme="minorHAnsi" w:hAnsiTheme="minorHAnsi"/>
                <w:sz w:val="24"/>
                <w:szCs w:val="24"/>
              </w:rPr>
              <w:t xml:space="preserve"> dyrektor </w:t>
            </w:r>
            <w:r w:rsidRPr="00075175">
              <w:rPr>
                <w:rFonts w:asciiTheme="minorHAnsi" w:hAnsiTheme="minorHAnsi"/>
                <w:iCs/>
                <w:sz w:val="24"/>
                <w:szCs w:val="24"/>
              </w:rPr>
              <w:t>szkoły</w:t>
            </w:r>
            <w:r w:rsidRPr="00075175">
              <w:rPr>
                <w:rFonts w:asciiTheme="minorHAnsi" w:hAnsiTheme="minorHAnsi"/>
                <w:sz w:val="24"/>
                <w:szCs w:val="24"/>
              </w:rPr>
              <w:t xml:space="preserve"> lub </w:t>
            </w:r>
            <w:r w:rsidRPr="00075175">
              <w:rPr>
                <w:rFonts w:asciiTheme="minorHAnsi" w:hAnsiTheme="minorHAnsi"/>
                <w:iCs/>
                <w:sz w:val="24"/>
                <w:szCs w:val="24"/>
              </w:rPr>
              <w:t>placówki</w:t>
            </w:r>
            <w:r w:rsidRPr="00075175">
              <w:rPr>
                <w:rFonts w:asciiTheme="minorHAnsi" w:hAnsiTheme="minorHAnsi"/>
                <w:sz w:val="24"/>
                <w:szCs w:val="24"/>
              </w:rPr>
              <w:t xml:space="preserve"> wyznacza nauczyciela, wychowawcę grupy wychowawczej lub specjalistę realizującego zadania, o których mowa powyżej.</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Należy wskazać, że do czasu zakończenia kształcenia dzieci w szkołach starego typu obowiązuje jeszcze także rozporządzenie w sprawie zasad organizacji i udzielania pomocy psychologiczno-pedagogicznej w publicznych przedszkolach, szkołach i placówkach – wydane na podstawie art. 22 ust. 2 pkt 11 ustawy z dnia 7 września 1991 r. o systemie oświaty</w:t>
            </w:r>
          </w:p>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 xml:space="preserve"> [do weryfikacji /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0"/>
              </w:numPr>
              <w:outlineLvl w:val="1"/>
              <w:rPr>
                <w:rFonts w:asciiTheme="minorHAnsi" w:hAnsiTheme="minorHAnsi"/>
                <w:sz w:val="24"/>
                <w:szCs w:val="24"/>
              </w:rPr>
            </w:pPr>
            <w:r w:rsidRPr="00075175">
              <w:rPr>
                <w:rFonts w:asciiTheme="minorHAnsi" w:hAnsiTheme="minorHAnsi"/>
                <w:sz w:val="24"/>
                <w:szCs w:val="24"/>
              </w:rPr>
              <w:lastRenderedPageBreak/>
              <w:t>Analiza ilościowa</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 xml:space="preserve">Instrukcja: Analiza ilościowa zagadnień związanych z badanym obszarem: Jakie usługi / zadania są realizowane? W jakiej ilości / jakości (parametry obiektywne)? Jakim kosztem (koszty jednostkowe)? Jaka jest ich dostępność dla mieszkańców gminy / powiatu? Zaproponowanie i </w:t>
            </w:r>
            <w:r w:rsidRPr="00075175">
              <w:rPr>
                <w:rFonts w:asciiTheme="minorHAnsi" w:hAnsiTheme="minorHAnsi"/>
                <w:i/>
                <w:sz w:val="24"/>
                <w:szCs w:val="24"/>
              </w:rPr>
              <w:lastRenderedPageBreak/>
              <w:t>omówienie wskaźników kontekstowych ważnych dla interpretacji danych ilościowych.</w:t>
            </w:r>
          </w:p>
        </w:tc>
      </w:tr>
      <w:tr w:rsidR="001A12CF" w:rsidRPr="00075175" w:rsidTr="001A12CF">
        <w:trPr>
          <w:trHeight w:val="75"/>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rPr>
              <w:lastRenderedPageBreak/>
              <w:t>Liczba doradców zawodowych w relacji do liczby dzieci</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Liczba udzielonych indywidualnych porad z zakresu doradztwa zawodowego w relacji do liczby uczniów</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Liczba programów doradztwa zawodowego w szkołach podstawowych (w relacji do liczby szkół / oddziałów / uczniów?)</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Liczba planów doradztwa zawodowego w technikach i szkołach zawodowych (w relacji do liczby szkół / oddziałów / uczniów?)</w:t>
            </w:r>
          </w:p>
          <w:p w:rsidR="001A12CF" w:rsidRPr="00075175" w:rsidRDefault="001A12CF" w:rsidP="001A12CF">
            <w:pPr>
              <w:rPr>
                <w:rFonts w:asciiTheme="minorHAnsi" w:hAnsiTheme="minorHAnsi"/>
                <w:sz w:val="24"/>
                <w:szCs w:val="24"/>
                <w:highlight w:val="yellow"/>
              </w:rPr>
            </w:pPr>
            <w:r w:rsidRPr="00075175">
              <w:rPr>
                <w:rFonts w:asciiTheme="minorHAnsi" w:hAnsiTheme="minorHAnsi"/>
                <w:sz w:val="24"/>
                <w:szCs w:val="24"/>
                <w:highlight w:val="yellow"/>
              </w:rPr>
              <w:t>[do uzupełnienia – w takim zakresie w jakim dane ścisłe lub udokumentowane w literaturze szacunki - będą dostępne]</w:t>
            </w:r>
          </w:p>
          <w:p w:rsidR="001A12CF" w:rsidRPr="00075175" w:rsidRDefault="001A12CF" w:rsidP="001A12CF">
            <w:pPr>
              <w:rPr>
                <w:rFonts w:asciiTheme="minorHAnsi" w:hAnsiTheme="minorHAnsi"/>
                <w:sz w:val="24"/>
                <w:szCs w:val="24"/>
                <w:highlight w:val="yellow"/>
              </w:rPr>
            </w:pPr>
          </w:p>
          <w:p w:rsidR="001A12CF" w:rsidRPr="00075175" w:rsidRDefault="001A12CF" w:rsidP="001A12CF">
            <w:pPr>
              <w:rPr>
                <w:rFonts w:asciiTheme="minorHAnsi" w:hAnsiTheme="minorHAnsi"/>
                <w:sz w:val="24"/>
                <w:szCs w:val="24"/>
                <w:highlight w:val="yellow"/>
              </w:rPr>
            </w:pPr>
          </w:p>
        </w:tc>
      </w:tr>
      <w:tr w:rsidR="001A12CF" w:rsidRPr="00075175" w:rsidTr="001A12CF">
        <w:tc>
          <w:tcPr>
            <w:tcW w:w="9634" w:type="dxa"/>
          </w:tcPr>
          <w:p w:rsidR="001A12CF" w:rsidRPr="00075175" w:rsidRDefault="001A12CF" w:rsidP="00225D72">
            <w:pPr>
              <w:pStyle w:val="Nagwek2"/>
              <w:numPr>
                <w:ilvl w:val="0"/>
                <w:numId w:val="30"/>
              </w:numPr>
              <w:outlineLvl w:val="1"/>
              <w:rPr>
                <w:rFonts w:asciiTheme="minorHAnsi" w:hAnsiTheme="minorHAnsi"/>
                <w:sz w:val="24"/>
                <w:szCs w:val="24"/>
              </w:rPr>
            </w:pPr>
            <w:r w:rsidRPr="00075175">
              <w:rPr>
                <w:rFonts w:asciiTheme="minorHAnsi" w:hAnsiTheme="minorHAnsi"/>
                <w:sz w:val="24"/>
                <w:szCs w:val="24"/>
              </w:rPr>
              <w:t>Rola organu prowadzącego</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Prezentacja roli organu prowadzącego w badanym obszarze: cel, zasady i formy możliwego działania wraz z ich charakterystyką oraz przedstawieniem zróżnicowanych podejść i uwarunkowań instytucjonalnych. Wynikiem tej części analizy powinna być lista zadań / funkcji, które powinny być / mogą być realizowane przez JST w tym zakresie.</w:t>
            </w:r>
          </w:p>
        </w:tc>
      </w:tr>
      <w:tr w:rsidR="001A12CF" w:rsidRPr="00075175" w:rsidTr="001A12CF">
        <w:trPr>
          <w:trHeight w:val="28"/>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rPr>
              <w:t>Prawo oświatowe wprowadziło od roku szkolnego 2017/2018 obowiązek prowadzenia zajęć z doradztwa zawodowego w klasie VII szkoły podstawowej (nie ma jeszcze wytycznych, obowiązują dotychczasowe zasady, co oznacza konieczność przygotowania odpowiednego programu). Aktywny organ prowadzący oprócz działań standardowych może podjąć szereg inicjatyw w celu wsparcia prowadzonych przez siebie szkół oraz zapewnienia ich uczniom wysokiej jakości doradztwa zawodowego:</w:t>
            </w:r>
          </w:p>
          <w:p w:rsidR="001A12CF" w:rsidRPr="00075175" w:rsidRDefault="001A12CF" w:rsidP="001A12CF">
            <w:pPr>
              <w:pStyle w:val="Akapitzlist"/>
              <w:numPr>
                <w:ilvl w:val="0"/>
                <w:numId w:val="15"/>
              </w:numPr>
              <w:spacing w:after="120"/>
              <w:rPr>
                <w:rFonts w:asciiTheme="minorHAnsi" w:hAnsiTheme="minorHAnsi"/>
                <w:sz w:val="24"/>
                <w:szCs w:val="24"/>
              </w:rPr>
            </w:pPr>
            <w:r w:rsidRPr="00075175">
              <w:rPr>
                <w:rFonts w:asciiTheme="minorHAnsi" w:hAnsiTheme="minorHAnsi"/>
                <w:sz w:val="24"/>
                <w:szCs w:val="24"/>
              </w:rPr>
              <w:t>W celu wymiany informacji oraz wprowadzenia do programu doradztwa zawodowego treści odzwierciedlających specyfikę lokalnego rynku pracy, organ prowadzący może utworzyć lokalną (gminną lub lepiej powiatową) sieć doradców zawodowych oraz włączyć do sieci lokalne instytucje, tak jak urząd pracy i poradnia psychologiczno-pedagogiczna;</w:t>
            </w:r>
          </w:p>
          <w:p w:rsidR="001A12CF" w:rsidRPr="00075175" w:rsidRDefault="001A12CF" w:rsidP="001A12CF">
            <w:pPr>
              <w:pStyle w:val="Akapitzlist"/>
              <w:numPr>
                <w:ilvl w:val="0"/>
                <w:numId w:val="15"/>
              </w:numPr>
              <w:spacing w:after="120"/>
              <w:rPr>
                <w:rFonts w:asciiTheme="minorHAnsi" w:hAnsiTheme="minorHAnsi"/>
                <w:sz w:val="24"/>
                <w:szCs w:val="24"/>
              </w:rPr>
            </w:pPr>
            <w:r w:rsidRPr="00075175">
              <w:rPr>
                <w:rFonts w:asciiTheme="minorHAnsi" w:hAnsiTheme="minorHAnsi"/>
                <w:sz w:val="24"/>
                <w:szCs w:val="24"/>
              </w:rPr>
              <w:t>W celu ujęcia w podejmowanych działaniach specyfiki regionalnego i lokalnego rynku pracy lokalni doradcy zawodowi (lokalna sieć doradców) powinni współpracować z wojewódzkim i powiatowym urzędem pracy oraz reprezentacją przedsiębiorców – organ prowadzący może tę współprace ułatwić;</w:t>
            </w:r>
          </w:p>
          <w:p w:rsidR="001A12CF" w:rsidRPr="00075175" w:rsidRDefault="001A12CF" w:rsidP="001A12CF">
            <w:pPr>
              <w:pStyle w:val="Akapitzlist"/>
              <w:numPr>
                <w:ilvl w:val="0"/>
                <w:numId w:val="15"/>
              </w:numPr>
              <w:spacing w:after="120"/>
              <w:rPr>
                <w:rFonts w:asciiTheme="minorHAnsi" w:hAnsiTheme="minorHAnsi"/>
                <w:sz w:val="24"/>
                <w:szCs w:val="24"/>
              </w:rPr>
            </w:pPr>
            <w:r w:rsidRPr="00075175">
              <w:rPr>
                <w:rFonts w:asciiTheme="minorHAnsi" w:hAnsiTheme="minorHAnsi"/>
                <w:sz w:val="24"/>
                <w:szCs w:val="24"/>
              </w:rPr>
              <w:t>W celu zapewnienia wysokiej jakości zajęć doradztwa zawodowego w szkołach organ prowadzący może zainicjować wymianę dobrych praktyk w tym zakresie w skali subregionalnej i regionalnej.</w:t>
            </w:r>
          </w:p>
          <w:p w:rsidR="001A12CF" w:rsidRPr="00075175" w:rsidRDefault="001A12CF" w:rsidP="001A12CF">
            <w:pPr>
              <w:pStyle w:val="Akapitzlist"/>
              <w:numPr>
                <w:ilvl w:val="0"/>
                <w:numId w:val="15"/>
              </w:numPr>
              <w:spacing w:after="120"/>
              <w:rPr>
                <w:rFonts w:asciiTheme="minorHAnsi" w:hAnsiTheme="minorHAnsi"/>
                <w:sz w:val="24"/>
                <w:szCs w:val="24"/>
              </w:rPr>
            </w:pPr>
            <w:r w:rsidRPr="00075175">
              <w:rPr>
                <w:rFonts w:asciiTheme="minorHAnsi" w:hAnsiTheme="minorHAnsi"/>
                <w:sz w:val="24"/>
                <w:szCs w:val="24"/>
              </w:rPr>
              <w:t>Z badań przeprowadzonych na zlecenie Ośrodka Rozwoju Edukacji MEN - wynikają również rekomendacje zalecające włączenie do lokalnego systemu doradztwa zawodowego rodziców uczniów.</w:t>
            </w:r>
          </w:p>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 xml:space="preserve"> [do weryfikacji /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0"/>
              </w:numPr>
              <w:outlineLvl w:val="1"/>
              <w:rPr>
                <w:rFonts w:asciiTheme="minorHAnsi" w:hAnsiTheme="minorHAnsi"/>
                <w:sz w:val="24"/>
                <w:szCs w:val="24"/>
              </w:rPr>
            </w:pPr>
            <w:r w:rsidRPr="00075175">
              <w:rPr>
                <w:rFonts w:asciiTheme="minorHAnsi" w:hAnsiTheme="minorHAnsi"/>
                <w:sz w:val="24"/>
                <w:szCs w:val="24"/>
              </w:rPr>
              <w:lastRenderedPageBreak/>
              <w:t xml:space="preserve">Narzędzia i rozwiązania zarządcze </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Wykonawca powinien systematycznie opisać znane mu narzędzia i rozwiązania zarządcze wykorzystywane w celu realizacji kluczowych zadań i funkcji organu prowadzącego w danym obszarze. Oczekujemy, że każdej z funkcji wspomnianych w pkt. 3 zostaną przypisane co najmniej 2 różne rozwiązania zarządcze.</w:t>
            </w:r>
          </w:p>
        </w:tc>
      </w:tr>
      <w:tr w:rsidR="001A12CF" w:rsidRPr="00075175" w:rsidTr="001A12CF">
        <w:trPr>
          <w:trHeight w:val="119"/>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 xml:space="preserve"> [do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0"/>
              </w:numPr>
              <w:outlineLvl w:val="1"/>
              <w:rPr>
                <w:rFonts w:asciiTheme="minorHAnsi" w:hAnsiTheme="minorHAnsi"/>
                <w:sz w:val="24"/>
                <w:szCs w:val="24"/>
              </w:rPr>
            </w:pPr>
            <w:r w:rsidRPr="00075175">
              <w:rPr>
                <w:rFonts w:asciiTheme="minorHAnsi" w:hAnsiTheme="minorHAnsi"/>
                <w:sz w:val="24"/>
                <w:szCs w:val="24"/>
              </w:rPr>
              <w:t>Dobre praktyki</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 Nie zakładamy tworzenia nowych opisów dobrej praktyki. Wykonawca powinien natomiast dokonać przeglądu i analizy dostępnych opracowań oraz dobrać przykłady prezentujące wzorcowe podejście samorządów do zarządzania oświatą w badanym obszarze*. Wybrane praktyki powinny zostać opatrzone komentarzem, wyjaśniającym: Jakiego zadania dotyczą? W jakiej mierze są ilustracją omówionych wcześniej narzędzi? Kto i dlaczego powinien się zapoznać z opisem? Na co ma zwrócić uwagę?</w:t>
            </w:r>
          </w:p>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Oczekujemy, że każde z narzędzi zarządczych omawianych w ramach pkt 4 zostanie zilustrowane odniesieniem do co najmniej dwóch przykładów jego skutecznego zastosowania w samorządach różnego typu. Jeśli dane rozwiązanie nie doczekało się jeszcze pełnej adaptacji w polskich warunkach, możliwe jest podanie wdrożeń częściowych i wzorców zagranicznych.</w:t>
            </w:r>
          </w:p>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 Wykonawca może również wskazać znane mu ośrodki, gdzie wdrażane są innowacyjne rozwiązania, nawet jeśli nie doczekały się one jeszcze publikacji w formie opisu dobrej praktyki. W takim przypadku oczekujemy podania namiarów na osobę kontaktową, która może dostarczyć szczegółowych informacji na ten temat.</w:t>
            </w:r>
          </w:p>
        </w:tc>
      </w:tr>
      <w:tr w:rsidR="001A12CF" w:rsidRPr="00075175" w:rsidTr="001A12CF">
        <w:trPr>
          <w:trHeight w:val="322"/>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 xml:space="preserve"> [do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0"/>
              </w:numPr>
              <w:outlineLvl w:val="1"/>
              <w:rPr>
                <w:rFonts w:asciiTheme="minorHAnsi" w:hAnsiTheme="minorHAnsi"/>
                <w:sz w:val="24"/>
                <w:szCs w:val="24"/>
              </w:rPr>
            </w:pPr>
            <w:r w:rsidRPr="00075175">
              <w:rPr>
                <w:rFonts w:asciiTheme="minorHAnsi" w:hAnsiTheme="minorHAnsi"/>
                <w:sz w:val="24"/>
                <w:szCs w:val="24"/>
              </w:rPr>
              <w:t>Analiza kluczowych problemów</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 xml:space="preserve">Instrukcja: Wykonawca powinien wskazać kluczowe bariery utrudniające prawidłową realizację funkcji i zadań wymienionych pkt 3. (np. Ograniczenia mogą wynikać z uwarunkowań prawnych i systemowych, wiązać się z postawami lub kompetencjami kadry zarządzającej, brakiem odpowiednich zasobów, uwarunkowaniami instytucjonalnymi, itp.) Oczekuje się, że Wykonawca oceni względną wagę danego problemu, zidentyfikuje jego źródła oraz zaproponuje kierunki </w:t>
            </w:r>
            <w:r w:rsidRPr="00075175">
              <w:rPr>
                <w:rFonts w:asciiTheme="minorHAnsi" w:hAnsiTheme="minorHAnsi"/>
                <w:i/>
                <w:sz w:val="24"/>
                <w:szCs w:val="24"/>
              </w:rPr>
              <w:lastRenderedPageBreak/>
              <w:t>działań, które należałoby podjąć w celu jego rozwiązania.</w:t>
            </w:r>
          </w:p>
        </w:tc>
      </w:tr>
      <w:tr w:rsidR="001A12CF" w:rsidRPr="00075175" w:rsidTr="001A12CF">
        <w:trPr>
          <w:trHeight w:val="31"/>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lastRenderedPageBreak/>
              <w:t>[do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0"/>
              </w:numPr>
              <w:outlineLvl w:val="1"/>
              <w:rPr>
                <w:rFonts w:asciiTheme="minorHAnsi" w:hAnsiTheme="minorHAnsi"/>
                <w:sz w:val="24"/>
                <w:szCs w:val="24"/>
              </w:rPr>
            </w:pPr>
            <w:r w:rsidRPr="00075175">
              <w:rPr>
                <w:rFonts w:asciiTheme="minorHAnsi" w:hAnsiTheme="minorHAnsi"/>
                <w:sz w:val="24"/>
                <w:szCs w:val="24"/>
              </w:rPr>
              <w:t>Trendy i tendencje w rozwoju obszaru</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W oparciu o przegląd dostępnej literatury Wykonawca zaprezentuje krótko najciekawsze zjawiska, tendencje i prawidłowości obserwowane w Polsce i za granicą w zakresie zarządzania oświatą w analizowanym obszarze. Porówna je między sobą i z dominującą w kraju praktyką. Oczekuje się, że przegląd zostanie uzupełniony bibliografią wykorzystanych publikacji oraz linkami do witryn ośrodków – aktywnych w zakresie wspomnianych w tekście innowacji i prac koncepcyjnych.</w:t>
            </w:r>
          </w:p>
        </w:tc>
      </w:tr>
      <w:tr w:rsidR="001A12CF" w:rsidRPr="00075175" w:rsidTr="001A12CF">
        <w:trPr>
          <w:trHeight w:val="66"/>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[do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bl>
    <w:p w:rsidR="001A12CF" w:rsidRPr="00075175" w:rsidRDefault="001A12CF">
      <w:pPr>
        <w:spacing w:after="200" w:line="276" w:lineRule="auto"/>
        <w:jc w:val="left"/>
        <w:rPr>
          <w:rFonts w:asciiTheme="minorHAnsi" w:hAnsiTheme="minorHAnsi"/>
          <w:sz w:val="24"/>
          <w:szCs w:val="24"/>
        </w:rPr>
      </w:pPr>
    </w:p>
    <w:p w:rsidR="001A12CF" w:rsidRPr="00075175" w:rsidRDefault="001A12CF">
      <w:pPr>
        <w:spacing w:after="200" w:line="276" w:lineRule="auto"/>
        <w:jc w:val="left"/>
        <w:rPr>
          <w:rFonts w:asciiTheme="minorHAnsi" w:hAnsiTheme="minorHAnsi"/>
          <w:sz w:val="24"/>
          <w:szCs w:val="24"/>
        </w:rPr>
      </w:pPr>
      <w:r w:rsidRPr="00075175">
        <w:rPr>
          <w:rFonts w:asciiTheme="minorHAnsi" w:hAnsiTheme="minorHAnsi"/>
          <w:sz w:val="24"/>
          <w:szCs w:val="24"/>
        </w:rPr>
        <w:br w:type="page"/>
      </w:r>
    </w:p>
    <w:tbl>
      <w:tblPr>
        <w:tblStyle w:val="Tabela-Siatka"/>
        <w:tblW w:w="9634" w:type="dxa"/>
        <w:tblLayout w:type="fixed"/>
        <w:tblCellMar>
          <w:top w:w="57" w:type="dxa"/>
          <w:left w:w="85" w:type="dxa"/>
          <w:bottom w:w="57" w:type="dxa"/>
          <w:right w:w="85" w:type="dxa"/>
        </w:tblCellMar>
        <w:tblLook w:val="04A0"/>
      </w:tblPr>
      <w:tblGrid>
        <w:gridCol w:w="9634"/>
      </w:tblGrid>
      <w:tr w:rsidR="001A12CF" w:rsidRPr="00075175" w:rsidTr="001A12CF">
        <w:tc>
          <w:tcPr>
            <w:tcW w:w="9634" w:type="dxa"/>
          </w:tcPr>
          <w:p w:rsidR="00C60611" w:rsidRPr="00075175" w:rsidRDefault="00C60611" w:rsidP="00C60611">
            <w:pPr>
              <w:rPr>
                <w:rFonts w:asciiTheme="minorHAnsi" w:hAnsiTheme="minorHAnsi"/>
                <w:b/>
                <w:sz w:val="24"/>
                <w:szCs w:val="24"/>
              </w:rPr>
            </w:pPr>
            <w:r w:rsidRPr="00075175">
              <w:rPr>
                <w:rFonts w:asciiTheme="minorHAnsi" w:hAnsiTheme="minorHAnsi"/>
                <w:b/>
                <w:sz w:val="24"/>
                <w:szCs w:val="24"/>
              </w:rPr>
              <w:lastRenderedPageBreak/>
              <w:t>Wsparcie kadry jednostek samorządu terytorialnego w zarządzaniu oświatą ukierunkowanym na rozwój szkół i kompetencji kluczowych uczniów  (POWR.02.10.00-IP.02-00-003/15)</w:t>
            </w:r>
          </w:p>
          <w:p w:rsidR="00C60611" w:rsidRPr="00075175" w:rsidRDefault="00C60611" w:rsidP="00C60611">
            <w:pPr>
              <w:pStyle w:val="Tytu"/>
              <w:rPr>
                <w:rFonts w:asciiTheme="minorHAnsi" w:hAnsiTheme="minorHAnsi"/>
                <w:sz w:val="24"/>
                <w:szCs w:val="24"/>
              </w:rPr>
            </w:pPr>
            <w:r w:rsidRPr="00075175">
              <w:rPr>
                <w:rFonts w:asciiTheme="minorHAnsi" w:hAnsiTheme="minorHAnsi"/>
                <w:sz w:val="24"/>
                <w:szCs w:val="24"/>
              </w:rPr>
              <w:t xml:space="preserve">Strategiczny przegląd sytuacji w obszarze 8: </w:t>
            </w:r>
          </w:p>
          <w:p w:rsidR="001A12CF" w:rsidRPr="00075175" w:rsidRDefault="001A12CF" w:rsidP="001A12CF">
            <w:pPr>
              <w:pStyle w:val="Nagwek1"/>
              <w:spacing w:before="0"/>
              <w:outlineLvl w:val="0"/>
              <w:rPr>
                <w:rFonts w:asciiTheme="minorHAnsi" w:hAnsiTheme="minorHAnsi" w:cs="Arial"/>
                <w:szCs w:val="24"/>
              </w:rPr>
            </w:pPr>
            <w:bookmarkStart w:id="1" w:name="_Toc494887095"/>
            <w:r w:rsidRPr="00075175">
              <w:rPr>
                <w:rFonts w:asciiTheme="minorHAnsi" w:hAnsiTheme="minorHAnsi" w:cs="Arial"/>
                <w:szCs w:val="24"/>
              </w:rPr>
              <w:t>Wsparcie uczniów szczególnie uzdolnionych</w:t>
            </w:r>
            <w:bookmarkEnd w:id="1"/>
            <w:r w:rsidRPr="00075175">
              <w:rPr>
                <w:rFonts w:asciiTheme="minorHAnsi" w:hAnsiTheme="minorHAnsi" w:cs="Arial"/>
                <w:szCs w:val="24"/>
              </w:rPr>
              <w:t xml:space="preserve">  </w:t>
            </w:r>
          </w:p>
        </w:tc>
      </w:tr>
      <w:tr w:rsidR="001A12CF" w:rsidRPr="00075175" w:rsidTr="001A12CF">
        <w:tc>
          <w:tcPr>
            <w:tcW w:w="9634" w:type="dxa"/>
          </w:tcPr>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2"/>
              </w:numPr>
              <w:outlineLvl w:val="1"/>
              <w:rPr>
                <w:rFonts w:asciiTheme="minorHAnsi" w:hAnsiTheme="minorHAnsi"/>
                <w:sz w:val="24"/>
                <w:szCs w:val="24"/>
              </w:rPr>
            </w:pPr>
            <w:r w:rsidRPr="00075175">
              <w:rPr>
                <w:rFonts w:asciiTheme="minorHAnsi" w:hAnsiTheme="minorHAnsi"/>
                <w:sz w:val="24"/>
                <w:szCs w:val="24"/>
              </w:rPr>
              <w:t>Podstawa prawna działania samorządu w tym obszarze</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Omówienie aktualnej podstawy prawnej działania samorządu w analizowanym obszarze, w tym aktualnych regulacji i podejmowanych inicjatyw legislacyjnych (jeśli dotyczy). Jeśli w okresie realizacji zlecenia prowadzone będą prace parlamentarne nad zmianami obowiązującego prawa, ocena ich wpływu na sposób realizacji przez JST zadań oświatowych.</w:t>
            </w:r>
          </w:p>
        </w:tc>
      </w:tr>
      <w:tr w:rsidR="001A12CF" w:rsidRPr="00075175" w:rsidTr="001A12CF">
        <w:trPr>
          <w:trHeight w:val="1776"/>
        </w:trPr>
        <w:tc>
          <w:tcPr>
            <w:tcW w:w="9634" w:type="dxa"/>
          </w:tcPr>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rPr>
              <w:t>Do celów systemu oświaty art. 1 ustawy – Prawo oświatowe zalicza m.in. opiekę nad uczniami szczególnie uzdolnionymi poprzez umożliwianie realizowania indywidualnych programów nauczania oraz ukończenia szkoły każdego typu w skróconym czasie (pkt 8).</w:t>
            </w:r>
          </w:p>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rPr>
              <w:t xml:space="preserve">Zgodnie z art. 109 ust. 1 pkt 6 ustawy – Prawo oświatowe jedną z podstawowych form działalności dydaktyczno-wychowawczej szkoły są zajęcia rozwijające zainteresowania i uzdolnienia uczniów, w szczególności w celu kształtowania ich aktywności i kreatywności. </w:t>
            </w:r>
          </w:p>
          <w:p w:rsidR="001A12CF" w:rsidRPr="00075175" w:rsidRDefault="001A12CF" w:rsidP="001A12CF">
            <w:pPr>
              <w:autoSpaceDE w:val="0"/>
              <w:autoSpaceDN w:val="0"/>
              <w:adjustRightInd w:val="0"/>
              <w:jc w:val="left"/>
              <w:rPr>
                <w:rFonts w:asciiTheme="minorHAnsi" w:hAnsiTheme="minorHAnsi" w:cs="Arial"/>
                <w:sz w:val="24"/>
                <w:szCs w:val="24"/>
              </w:rPr>
            </w:pPr>
            <w:r w:rsidRPr="00075175">
              <w:rPr>
                <w:rFonts w:asciiTheme="minorHAnsi" w:hAnsiTheme="minorHAnsi" w:cs="Arial"/>
                <w:sz w:val="24"/>
                <w:szCs w:val="24"/>
              </w:rPr>
              <w:t xml:space="preserve">W myśl art. 115 ust. 1 ustawy – Prawo oświatowe na wniosek lub za zgodą rodziców albo pełnoletniego ucznia dyrektor szkoły, po zasięgnięciu opinii rady pedagogicznej i publicznej poradni psychologiczno-pedagogicznej, w tym poradni specjalistycznej, może zezwolić uczniowi na indywidualny program lub tok nauki oraz wyznaczyć nauczyciela - opiekuna. Odmowa udzielenia zezwolenia następuje w drodze decyzji administracyjnej. </w:t>
            </w:r>
          </w:p>
          <w:p w:rsidR="001A12CF" w:rsidRPr="00075175" w:rsidRDefault="001A12CF" w:rsidP="001A12CF">
            <w:pPr>
              <w:autoSpaceDE w:val="0"/>
              <w:autoSpaceDN w:val="0"/>
              <w:adjustRightInd w:val="0"/>
              <w:jc w:val="left"/>
              <w:rPr>
                <w:rFonts w:asciiTheme="minorHAnsi" w:hAnsiTheme="minorHAnsi" w:cs="Arial"/>
                <w:sz w:val="24"/>
                <w:szCs w:val="24"/>
              </w:rPr>
            </w:pPr>
            <w:r w:rsidRPr="00075175">
              <w:rPr>
                <w:rFonts w:asciiTheme="minorHAnsi" w:hAnsiTheme="minorHAnsi" w:cs="Arial"/>
                <w:sz w:val="24"/>
                <w:szCs w:val="24"/>
              </w:rPr>
              <w:t xml:space="preserve">Warunki i tryb udzielania zezwoleń na indywidualny program lub tok nauki oraz organizację indywidualnego programu lub toku nauki, uwzględniając umożliwienie uczniom szczególnie uzdolnionym rozwoju ich uzdolnień oraz ukończenie szkoły w skróconym czasie reguluje rozporządzenie Ministra Edukacji Narodowej z dnia 9 sierpnia 2017 r. w sprawie warunków i trybu udzielania zezwoleń na indywidualny program lub tok nauki oraz organizacji indywidualnego programu lub toku nauki. </w:t>
            </w:r>
          </w:p>
          <w:p w:rsidR="001A12CF" w:rsidRPr="00075175" w:rsidRDefault="001A12CF" w:rsidP="001A12CF">
            <w:pPr>
              <w:autoSpaceDE w:val="0"/>
              <w:autoSpaceDN w:val="0"/>
              <w:adjustRightInd w:val="0"/>
              <w:jc w:val="left"/>
              <w:rPr>
                <w:rFonts w:asciiTheme="minorHAnsi" w:hAnsiTheme="minorHAnsi" w:cs="Arial"/>
                <w:sz w:val="24"/>
                <w:szCs w:val="24"/>
              </w:rPr>
            </w:pPr>
            <w:r w:rsidRPr="00075175">
              <w:rPr>
                <w:rFonts w:asciiTheme="minorHAnsi" w:hAnsiTheme="minorHAnsi" w:cs="Arial"/>
                <w:sz w:val="24"/>
                <w:szCs w:val="24"/>
              </w:rPr>
              <w:t>Na mocy §5 ust. 1 powołanego rozporządzenia nauczyciel prowadzący zajęcia edukacyjne, których dotyczy wniosek o udzielenie zezwolenia na indywidualny program nauki, opracowuje indywidualny program nauki lub akceptuje indywidualny program nauki opracowany poza szkołą, który uczeń ma realizować pod jego kierunkiem.</w:t>
            </w:r>
          </w:p>
          <w:p w:rsidR="001A12CF" w:rsidRPr="00075175" w:rsidRDefault="001A12CF" w:rsidP="001A12CF">
            <w:pPr>
              <w:autoSpaceDE w:val="0"/>
              <w:autoSpaceDN w:val="0"/>
              <w:adjustRightInd w:val="0"/>
              <w:jc w:val="left"/>
              <w:rPr>
                <w:rFonts w:asciiTheme="minorHAnsi" w:hAnsiTheme="minorHAnsi" w:cs="Arial"/>
                <w:sz w:val="24"/>
                <w:szCs w:val="24"/>
              </w:rPr>
            </w:pPr>
            <w:r w:rsidRPr="00075175">
              <w:rPr>
                <w:rFonts w:asciiTheme="minorHAnsi" w:hAnsiTheme="minorHAnsi" w:cs="Arial"/>
                <w:sz w:val="24"/>
                <w:szCs w:val="24"/>
              </w:rPr>
              <w:t xml:space="preserve">Rozporządzenie Ministra Edukacji Narodowej z dnia 9 sierpnia 2017 r. w sprawie zasad organizacji i udzielania pomocy psychologiczno-pedagogicznej w publicznych przedszkolach, szkołach i placówkach wskazuje w §2 ust. 2 pkt 5 że potrzeba objęcia ucznia pomocą psychologiczno-pedagogiczną w przedszkolu, szkole i placówce, może wynikać m.in. ze szczególnych uzdolnień ucznia. Dla takich uczniów pomoc realizuje się poprzez organizację na terenie przedszkola, szkoły i placówki zajęć rozwijających uzdolnienia (§6 odpowiednio ust. 1 pkt 1, ust. 2 pkt 2 i ust. 3 pkt 1)  </w:t>
            </w:r>
            <w:r w:rsidRPr="00075175">
              <w:rPr>
                <w:rStyle w:val="alb"/>
                <w:rFonts w:asciiTheme="minorHAnsi" w:hAnsiTheme="minorHAnsi"/>
                <w:sz w:val="24"/>
                <w:szCs w:val="24"/>
              </w:rPr>
              <w:t xml:space="preserve">Zgodnie z </w:t>
            </w:r>
            <w:r w:rsidRPr="00075175">
              <w:rPr>
                <w:rStyle w:val="alb"/>
                <w:rFonts w:asciiTheme="minorHAnsi" w:hAnsiTheme="minorHAnsi" w:cs="Arial"/>
                <w:sz w:val="24"/>
                <w:szCs w:val="24"/>
              </w:rPr>
              <w:t>§</w:t>
            </w:r>
            <w:r w:rsidRPr="00075175">
              <w:rPr>
                <w:rStyle w:val="alb"/>
                <w:rFonts w:asciiTheme="minorHAnsi" w:hAnsiTheme="minorHAnsi"/>
                <w:sz w:val="24"/>
                <w:szCs w:val="24"/>
              </w:rPr>
              <w:t xml:space="preserve">7 powołanego rozporządzenia </w:t>
            </w:r>
            <w:r w:rsidRPr="00075175">
              <w:rPr>
                <w:rFonts w:asciiTheme="minorHAnsi" w:hAnsiTheme="minorHAnsi"/>
                <w:sz w:val="24"/>
                <w:szCs w:val="24"/>
              </w:rPr>
              <w:t xml:space="preserve">zajęcia rozwijające uzdolnienia organizuje się dla uczniów szczególnie uzdolnionych a liczba uczestników zajęć nie może przekraczać 8. </w:t>
            </w:r>
            <w:r w:rsidRPr="00075175">
              <w:rPr>
                <w:rFonts w:asciiTheme="minorHAnsi" w:hAnsiTheme="minorHAnsi" w:cs="Arial"/>
                <w:sz w:val="24"/>
                <w:szCs w:val="24"/>
              </w:rPr>
              <w:t xml:space="preserve">Z kolei §17 ust. 1 wskazuje, że </w:t>
            </w:r>
            <w:r w:rsidRPr="00075175">
              <w:rPr>
                <w:rFonts w:asciiTheme="minorHAnsi" w:hAnsiTheme="minorHAnsi"/>
                <w:sz w:val="24"/>
                <w:szCs w:val="24"/>
              </w:rPr>
              <w:t xml:space="preserve">zajęcia rozwijające uzdolnienia prowadzą </w:t>
            </w:r>
            <w:r w:rsidRPr="00075175">
              <w:rPr>
                <w:rFonts w:asciiTheme="minorHAnsi" w:hAnsiTheme="minorHAnsi"/>
                <w:sz w:val="24"/>
                <w:szCs w:val="24"/>
              </w:rPr>
              <w:lastRenderedPageBreak/>
              <w:t xml:space="preserve">nauczyciele, wychowawcy grup wychowawczych i specjaliści posiadający kwalifikacje odpowiednie do rodzaju zajęć. </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Ustawa o systemie oświaty w art. 90 c przewiduje świadczenia pomocy materialnej dla uczniów o charakterze motywacyjnym: 1) stypendium za wyniki w nauce lub za osiągnięcia sportowe; 2) stypendium Prezesa Rady Ministrów; 3) stypendium ministra właściwego do spraw oświaty i wychowania; 4) stypendium ministra właściwego do spraw kultury i ochrony dziedzictwa narodowego.</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 xml:space="preserve">Szczegółowe zasady przyznawania uczniom wymienionych powyżej stypendiów określają art. 90g-90k ustawy o systemie oświaty. </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Stypendia za wyniki w nauce lub za osiągnięcia sportowe są co do zasady finansowane z dochodów jednostek samorządu terytorialnego (art. 90s ust. 1 z zastrzeżeniem ust. 4-6).</w:t>
            </w:r>
          </w:p>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 xml:space="preserve"> [do weryfikacji /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2"/>
              </w:numPr>
              <w:outlineLvl w:val="1"/>
              <w:rPr>
                <w:rFonts w:asciiTheme="minorHAnsi" w:hAnsiTheme="minorHAnsi"/>
                <w:sz w:val="24"/>
                <w:szCs w:val="24"/>
              </w:rPr>
            </w:pPr>
            <w:r w:rsidRPr="00075175">
              <w:rPr>
                <w:rFonts w:asciiTheme="minorHAnsi" w:hAnsiTheme="minorHAnsi"/>
                <w:sz w:val="24"/>
                <w:szCs w:val="24"/>
              </w:rPr>
              <w:lastRenderedPageBreak/>
              <w:t>Analiza ilościowa</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Analiza ilościowa zagadnień związanych z badanym obszarem: Jakie usługi / zadania są realizowane? W jakiej ilości / jakości (parametry obiektywne)? Jakim kosztem (koszty jednostkowe)? Jaka jest ich dostępność dla mieszkańców gminy / powiatu? Zaproponowanie i omówienie wskaźników kontekstowych ważnych dla interpretacji danych ilościowych.</w:t>
            </w:r>
          </w:p>
        </w:tc>
      </w:tr>
      <w:tr w:rsidR="001A12CF" w:rsidRPr="00075175" w:rsidTr="001A12CF">
        <w:trPr>
          <w:trHeight w:val="1522"/>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rPr>
              <w:t>Liczba uczniów korzystających z indywidualnych programów nauczania w relacji do wszystkich uczniów</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Liczba uczniów kończących szkołę w skróconym czasie w relacji do wszystkich uczniów</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Procent uczestników korzystających z zajęć pozalekcyjnych w szkołach prowadzonych przez JST</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Wartość i liczba przyznanych stypendiów (dot. programów stypendialnych finansowanych przez JST)</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Liczba laureatów konkursów i olimpiad na poziomie wojewódzkim i krajowym w relacji do wszystkich uczniów</w:t>
            </w:r>
          </w:p>
          <w:p w:rsidR="001A12CF" w:rsidRPr="00075175" w:rsidRDefault="001A12CF" w:rsidP="001A12CF">
            <w:pPr>
              <w:rPr>
                <w:rFonts w:asciiTheme="minorHAnsi" w:hAnsiTheme="minorHAnsi"/>
                <w:sz w:val="24"/>
                <w:szCs w:val="24"/>
                <w:highlight w:val="yellow"/>
              </w:rPr>
            </w:pPr>
            <w:r w:rsidRPr="00075175">
              <w:rPr>
                <w:rFonts w:asciiTheme="minorHAnsi" w:hAnsiTheme="minorHAnsi"/>
                <w:sz w:val="24"/>
                <w:szCs w:val="24"/>
                <w:highlight w:val="yellow"/>
              </w:rPr>
              <w:t>[do uzupełnienia - w takim zakresie w jakim dane lub udokumentowane w literaturze szacunki będą dostępne]</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2"/>
              </w:numPr>
              <w:outlineLvl w:val="1"/>
              <w:rPr>
                <w:rFonts w:asciiTheme="minorHAnsi" w:hAnsiTheme="minorHAnsi"/>
                <w:sz w:val="24"/>
                <w:szCs w:val="24"/>
              </w:rPr>
            </w:pPr>
            <w:r w:rsidRPr="00075175">
              <w:rPr>
                <w:rFonts w:asciiTheme="minorHAnsi" w:hAnsiTheme="minorHAnsi"/>
                <w:sz w:val="24"/>
                <w:szCs w:val="24"/>
              </w:rPr>
              <w:t>Rola organu prowadzącego</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 xml:space="preserve">Instrukcja: Prezentacja roli organu prowadzącego w badanym obszarze: cel, zasady i formy możliwego działania wraz z ich charakterystyką oraz przedstawieniem zróżnicowanych podejść i uwarunkowań instytucjonalnych. Wynikiem tej części analizy powinna być lista zadań / funkcji, </w:t>
            </w:r>
            <w:r w:rsidRPr="00075175">
              <w:rPr>
                <w:rFonts w:asciiTheme="minorHAnsi" w:hAnsiTheme="minorHAnsi"/>
                <w:i/>
                <w:sz w:val="24"/>
                <w:szCs w:val="24"/>
              </w:rPr>
              <w:lastRenderedPageBreak/>
              <w:t>które powinny być / mogą być realizowane przez JST w tym zakresie.</w:t>
            </w:r>
          </w:p>
        </w:tc>
      </w:tr>
      <w:tr w:rsidR="001A12CF" w:rsidRPr="00075175" w:rsidTr="001A12CF">
        <w:trPr>
          <w:trHeight w:val="28"/>
        </w:trPr>
        <w:tc>
          <w:tcPr>
            <w:tcW w:w="9634" w:type="dxa"/>
          </w:tcPr>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rPr>
              <w:lastRenderedPageBreak/>
              <w:t>Przepisy ustawy Prawo oświatowe są w tym zakresie sformułowane w sposób otwarty. Organ prowadzący oraz poszczególne szkoły mają zatem możliwość dostosowania sposobu realizacji tego zadania do lokalnych potrzeb i uwarunkowań (w tym posiadanych zasobów kadrowych). Pozwala to zapewnić opiekę nad uczniami szczególnie uzdolnionymi i wspieranie rozwoju ich zainteresowań i uzdolnień poprzez:</w:t>
            </w:r>
          </w:p>
          <w:p w:rsidR="001A12CF" w:rsidRPr="00075175" w:rsidRDefault="001A12CF" w:rsidP="001A12CF">
            <w:pPr>
              <w:pStyle w:val="Akapitzlist"/>
              <w:numPr>
                <w:ilvl w:val="0"/>
                <w:numId w:val="19"/>
              </w:numPr>
              <w:spacing w:after="120"/>
              <w:ind w:left="357" w:hanging="357"/>
              <w:rPr>
                <w:rFonts w:asciiTheme="minorHAnsi" w:hAnsiTheme="minorHAnsi" w:cs="Arial"/>
                <w:sz w:val="24"/>
                <w:szCs w:val="24"/>
              </w:rPr>
            </w:pPr>
            <w:r w:rsidRPr="00075175">
              <w:rPr>
                <w:rFonts w:asciiTheme="minorHAnsi" w:hAnsiTheme="minorHAnsi" w:cs="Arial"/>
                <w:sz w:val="24"/>
                <w:szCs w:val="24"/>
              </w:rPr>
              <w:t xml:space="preserve">Realizację indywidualnych programów nauczania, </w:t>
            </w:r>
          </w:p>
          <w:p w:rsidR="001A12CF" w:rsidRPr="00075175" w:rsidRDefault="001A12CF" w:rsidP="001A12CF">
            <w:pPr>
              <w:pStyle w:val="Akapitzlist"/>
              <w:numPr>
                <w:ilvl w:val="0"/>
                <w:numId w:val="19"/>
              </w:numPr>
              <w:spacing w:after="120"/>
              <w:ind w:left="357" w:hanging="357"/>
              <w:rPr>
                <w:rFonts w:asciiTheme="minorHAnsi" w:hAnsiTheme="minorHAnsi" w:cs="Arial"/>
                <w:sz w:val="24"/>
                <w:szCs w:val="24"/>
              </w:rPr>
            </w:pPr>
            <w:r w:rsidRPr="00075175">
              <w:rPr>
                <w:rFonts w:asciiTheme="minorHAnsi" w:hAnsiTheme="minorHAnsi" w:cs="Arial"/>
                <w:sz w:val="24"/>
                <w:szCs w:val="24"/>
              </w:rPr>
              <w:t xml:space="preserve">Możliwość ukończenia szkoły każdego typu w skróconym czasie, </w:t>
            </w:r>
          </w:p>
          <w:p w:rsidR="001A12CF" w:rsidRPr="00075175" w:rsidRDefault="001A12CF" w:rsidP="001A12CF">
            <w:pPr>
              <w:pStyle w:val="Akapitzlist"/>
              <w:numPr>
                <w:ilvl w:val="0"/>
                <w:numId w:val="19"/>
              </w:numPr>
              <w:spacing w:after="120"/>
              <w:ind w:left="357" w:hanging="357"/>
              <w:rPr>
                <w:rFonts w:asciiTheme="minorHAnsi" w:hAnsiTheme="minorHAnsi" w:cs="Arial"/>
                <w:sz w:val="24"/>
                <w:szCs w:val="24"/>
              </w:rPr>
            </w:pPr>
            <w:r w:rsidRPr="00075175">
              <w:rPr>
                <w:rFonts w:asciiTheme="minorHAnsi" w:hAnsiTheme="minorHAnsi" w:cs="Arial"/>
                <w:sz w:val="24"/>
                <w:szCs w:val="24"/>
              </w:rPr>
              <w:t xml:space="preserve">Organizowanie zajęć pozalekcyjnych i pozaszkolnych. </w:t>
            </w:r>
          </w:p>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rPr>
              <w:t>To ostatnie zadanie wiąże się niestety często z koniecznością dołożenia przez JST dodatkowych, własnych środków do kwot uzyskanych w ramach części oświatowej subwencji ogólnej. W efekcie można jednak otrzymać bardzo zróżnicowane i dopasowane do potrzeb formy wsparcia. Ich skuteczność zależy zwykle od kreatywności i innowacyjnego podejścia osób zarządzających lokalną oświatą.</w:t>
            </w:r>
          </w:p>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rPr>
              <w:t>Obok zorganizowanych form rozwoju zainteresowań część gmin korzysta z delegacji ustawowej i tworzy:</w:t>
            </w:r>
          </w:p>
          <w:p w:rsidR="001A12CF" w:rsidRPr="00075175" w:rsidRDefault="001A12CF" w:rsidP="001A12CF">
            <w:pPr>
              <w:pStyle w:val="Akapitzlist"/>
              <w:numPr>
                <w:ilvl w:val="0"/>
                <w:numId w:val="19"/>
              </w:numPr>
              <w:spacing w:after="120"/>
              <w:ind w:left="357" w:hanging="357"/>
              <w:rPr>
                <w:rFonts w:asciiTheme="minorHAnsi" w:hAnsiTheme="minorHAnsi" w:cs="Arial"/>
                <w:sz w:val="24"/>
                <w:szCs w:val="24"/>
              </w:rPr>
            </w:pPr>
            <w:r w:rsidRPr="00075175">
              <w:rPr>
                <w:rFonts w:asciiTheme="minorHAnsi" w:hAnsiTheme="minorHAnsi" w:cs="Arial"/>
                <w:sz w:val="24"/>
                <w:szCs w:val="24"/>
              </w:rPr>
              <w:t xml:space="preserve">Programy stypendialne dla uczniów i studentów wybitnie uzdolnionych. </w:t>
            </w:r>
          </w:p>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rPr>
              <w:t>Celem tych programów jest m.in.: (a) zwiększenie szans uczniów zdolnych na sukces edukacyjny; (b) tworzenie instytucjonalnych i materialnych warunków sprzyjających rozwojowi utalentowanych dzieci i młodzieży; (c) wspieranie uczniów w rozwijaniu ich zainteresowań́ poprzez możliwość udziału w powiatowych, wojewódzkich i ogólnopolskich imprezach (np. olimpiadach, konkursach, festiwalach, turniejach itp.); (d) promowanie młodzieży szczególnie uzdolnionej.</w:t>
            </w:r>
          </w:p>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[do weryfikacji /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2"/>
              </w:numPr>
              <w:outlineLvl w:val="1"/>
              <w:rPr>
                <w:rFonts w:asciiTheme="minorHAnsi" w:hAnsiTheme="minorHAnsi"/>
                <w:sz w:val="24"/>
                <w:szCs w:val="24"/>
              </w:rPr>
            </w:pPr>
            <w:r w:rsidRPr="00075175">
              <w:rPr>
                <w:rFonts w:asciiTheme="minorHAnsi" w:hAnsiTheme="minorHAnsi"/>
                <w:sz w:val="24"/>
                <w:szCs w:val="24"/>
              </w:rPr>
              <w:t>Narzędzia i rozwiązania zarządcze</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Wykonawca powinien systematycznie opisać znane mu narzędzia i rozwiązania zarządcze wykorzystywane w celu realizacji kluczowych zadań i funkcji organu prowadzącego w danym obszarze. Oczekujemy, że każdej z funkcji wspomnianych w pkt. 3 zostaną przypisane co najmniej 2 różne rozwiązania zarządcze.</w:t>
            </w:r>
          </w:p>
        </w:tc>
      </w:tr>
      <w:tr w:rsidR="001A12CF" w:rsidRPr="00075175" w:rsidTr="001A12CF">
        <w:trPr>
          <w:trHeight w:val="119"/>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[do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2"/>
              </w:numPr>
              <w:outlineLvl w:val="1"/>
              <w:rPr>
                <w:rFonts w:asciiTheme="minorHAnsi" w:hAnsiTheme="minorHAnsi"/>
                <w:sz w:val="24"/>
                <w:szCs w:val="24"/>
              </w:rPr>
            </w:pPr>
            <w:r w:rsidRPr="00075175">
              <w:rPr>
                <w:rFonts w:asciiTheme="minorHAnsi" w:hAnsiTheme="minorHAnsi"/>
                <w:sz w:val="24"/>
                <w:szCs w:val="24"/>
              </w:rPr>
              <w:lastRenderedPageBreak/>
              <w:t>Dobre praktyki</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 Nie zakładamy tworzenia nowych opisów dobrej praktyki. Wykonawca powinien natomiast dokonać przeglądu i analizy dostępnych opracowań oraz dobrać przykłady prezentujące wzorcowe podejście samorządów do zarządzania oświatą w badanym obszarze*. Wybrane praktyki powinny zostać opatrzone komentarzem, wyjaśniającym: Jakiego zadania dotyczą? W jakiej mierze są ilustracją omówionych wcześniej narzędzi? Kto i dlaczego powinien się zapoznać z opisem? Na co ma zwrócić uwagę?</w:t>
            </w:r>
          </w:p>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Oczekujemy, że każde z narzędzi zarządczych omawianych w ramach pkt 4 zostanie zilustrowane odniesieniem do co najmniej dwóch przykładów jego skutecznego zastosowania w samorządach różnego typu. Jeśli dane rozwiązanie nie doczekało się jeszcze pełnej adaptacji w polskich warunkach, możliwe jest podanie wdrożeń częściowych i wzorców zagranicznych.</w:t>
            </w:r>
          </w:p>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 Wykonawca może również wskazać znane mu ośrodki, gdzie wdrażane są innowacyjne rozwiązania, nawet jeśli nie doczekały się one jeszcze publikacji w formie opisu dobrej praktyki. W takim przypadku oczekujemy podania namiarów na osobę kontaktową, która może dostarczyć szczegółowych informacji na ten temat.</w:t>
            </w:r>
          </w:p>
        </w:tc>
      </w:tr>
      <w:tr w:rsidR="001A12CF" w:rsidRPr="00075175" w:rsidTr="001A12CF">
        <w:trPr>
          <w:trHeight w:val="322"/>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 xml:space="preserve"> [do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2"/>
              </w:numPr>
              <w:outlineLvl w:val="1"/>
              <w:rPr>
                <w:rFonts w:asciiTheme="minorHAnsi" w:hAnsiTheme="minorHAnsi"/>
                <w:sz w:val="24"/>
                <w:szCs w:val="24"/>
              </w:rPr>
            </w:pPr>
            <w:r w:rsidRPr="00075175">
              <w:rPr>
                <w:rFonts w:asciiTheme="minorHAnsi" w:hAnsiTheme="minorHAnsi"/>
                <w:sz w:val="24"/>
                <w:szCs w:val="24"/>
              </w:rPr>
              <w:t>Analiza kluczowych problemów</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Wykonawca powinien wskazać kluczowe bariery utrudniające prawidłową realizację funkcji i zadań wymienionych pkt 3. (np. Ograniczenia mogą wynikać z uwarunkowań prawnych i systemowych, wiązać się z postawami lub kompetencjami kadry zarządzającej, brakiem odpowiednich zasobów, uwarunkowaniami instytucjonalnymi, itp.) Oczekuje się, że Wykonawca oceni względną wagę danego problemu, zidentyfikuje jego źródła oraz zaproponuje kierunki działań, które należałoby podjąć w celu jego rozwiązania.</w:t>
            </w:r>
          </w:p>
        </w:tc>
      </w:tr>
      <w:tr w:rsidR="001A12CF" w:rsidRPr="00075175" w:rsidTr="001A12CF">
        <w:trPr>
          <w:trHeight w:val="31"/>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[do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2"/>
              </w:numPr>
              <w:outlineLvl w:val="1"/>
              <w:rPr>
                <w:rFonts w:asciiTheme="minorHAnsi" w:hAnsiTheme="minorHAnsi"/>
                <w:sz w:val="24"/>
                <w:szCs w:val="24"/>
              </w:rPr>
            </w:pPr>
            <w:r w:rsidRPr="00075175">
              <w:rPr>
                <w:rFonts w:asciiTheme="minorHAnsi" w:hAnsiTheme="minorHAnsi"/>
                <w:sz w:val="24"/>
                <w:szCs w:val="24"/>
              </w:rPr>
              <w:t>Trendy i tendencje w rozwoju obszaru</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W oparciu o przegląd dostępnej literatury Wykonawca zaprezentuje krótko najciekawsze zjawiska, tendencje i prawidłowości obserwowane w Polsce i za granicą w zakresie zarządzania oświatą w analizowanym obszarze. Porówna je między sobą i z dominującą w kraju praktyką. Oczekuje się, że przegląd zostanie uzupełniony bibliografią wykorzystanych publikacji oraz linkami do witryn ośrodków – aktywnych w zakresie wspomnianych w tekście innowacji i prac koncepcyjnych.</w:t>
            </w:r>
          </w:p>
        </w:tc>
      </w:tr>
      <w:tr w:rsidR="001A12CF" w:rsidRPr="00075175" w:rsidTr="001A12CF">
        <w:trPr>
          <w:trHeight w:val="66"/>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lastRenderedPageBreak/>
              <w:t>[do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bl>
    <w:p w:rsidR="001A12CF" w:rsidRPr="00075175" w:rsidRDefault="001A12CF">
      <w:pPr>
        <w:spacing w:after="200" w:line="276" w:lineRule="auto"/>
        <w:jc w:val="left"/>
        <w:rPr>
          <w:rFonts w:asciiTheme="minorHAnsi" w:hAnsiTheme="minorHAnsi"/>
          <w:sz w:val="24"/>
          <w:szCs w:val="24"/>
        </w:rPr>
      </w:pPr>
    </w:p>
    <w:p w:rsidR="001A12CF" w:rsidRPr="00075175" w:rsidRDefault="001A12CF">
      <w:pPr>
        <w:spacing w:after="200" w:line="276" w:lineRule="auto"/>
        <w:jc w:val="left"/>
        <w:rPr>
          <w:rFonts w:asciiTheme="minorHAnsi" w:hAnsiTheme="minorHAnsi"/>
          <w:sz w:val="24"/>
          <w:szCs w:val="24"/>
        </w:rPr>
      </w:pPr>
      <w:r w:rsidRPr="00075175">
        <w:rPr>
          <w:rFonts w:asciiTheme="minorHAnsi" w:hAnsiTheme="minorHAnsi"/>
          <w:sz w:val="24"/>
          <w:szCs w:val="24"/>
        </w:rPr>
        <w:br w:type="page"/>
      </w:r>
    </w:p>
    <w:tbl>
      <w:tblPr>
        <w:tblStyle w:val="Tabela-Siatka"/>
        <w:tblW w:w="9634" w:type="dxa"/>
        <w:tblLayout w:type="fixed"/>
        <w:tblCellMar>
          <w:top w:w="57" w:type="dxa"/>
          <w:left w:w="85" w:type="dxa"/>
          <w:bottom w:w="57" w:type="dxa"/>
          <w:right w:w="85" w:type="dxa"/>
        </w:tblCellMar>
        <w:tblLook w:val="04A0"/>
      </w:tblPr>
      <w:tblGrid>
        <w:gridCol w:w="9634"/>
      </w:tblGrid>
      <w:tr w:rsidR="001A12CF" w:rsidRPr="00075175" w:rsidTr="001A12CF">
        <w:tc>
          <w:tcPr>
            <w:tcW w:w="9634" w:type="dxa"/>
          </w:tcPr>
          <w:p w:rsidR="00C60611" w:rsidRPr="00075175" w:rsidRDefault="00C60611" w:rsidP="00C60611">
            <w:pPr>
              <w:rPr>
                <w:rFonts w:asciiTheme="minorHAnsi" w:hAnsiTheme="minorHAnsi"/>
                <w:b/>
                <w:sz w:val="24"/>
                <w:szCs w:val="24"/>
              </w:rPr>
            </w:pPr>
            <w:r w:rsidRPr="00075175">
              <w:rPr>
                <w:rFonts w:asciiTheme="minorHAnsi" w:hAnsiTheme="minorHAnsi"/>
                <w:b/>
                <w:sz w:val="24"/>
                <w:szCs w:val="24"/>
              </w:rPr>
              <w:lastRenderedPageBreak/>
              <w:t>Wsparcie kadry jednostek samorządu terytorialnego w zarządzaniu oświatą ukierunkowanym na rozwój szkół i kompetencji kluczowych uczniów  (POWR.02.10.00-IP.02-00-003/15)</w:t>
            </w:r>
          </w:p>
          <w:p w:rsidR="00C60611" w:rsidRPr="00075175" w:rsidRDefault="00C60611" w:rsidP="00C60611">
            <w:pPr>
              <w:pStyle w:val="Tytu"/>
              <w:rPr>
                <w:rFonts w:asciiTheme="minorHAnsi" w:hAnsiTheme="minorHAnsi"/>
                <w:sz w:val="24"/>
                <w:szCs w:val="24"/>
              </w:rPr>
            </w:pPr>
            <w:r w:rsidRPr="00075175">
              <w:rPr>
                <w:rFonts w:asciiTheme="minorHAnsi" w:hAnsiTheme="minorHAnsi"/>
                <w:sz w:val="24"/>
                <w:szCs w:val="24"/>
              </w:rPr>
              <w:t xml:space="preserve">Strategiczny przegląd sytuacji w obszarze 9: </w:t>
            </w:r>
          </w:p>
          <w:p w:rsidR="001A12CF" w:rsidRPr="00075175" w:rsidRDefault="001A12CF" w:rsidP="00C60611">
            <w:pPr>
              <w:pStyle w:val="Nagwek1"/>
              <w:jc w:val="left"/>
              <w:outlineLvl w:val="0"/>
              <w:rPr>
                <w:rFonts w:asciiTheme="minorHAnsi" w:hAnsiTheme="minorHAnsi"/>
                <w:szCs w:val="24"/>
              </w:rPr>
            </w:pPr>
            <w:bookmarkStart w:id="2" w:name="_Toc494887096"/>
            <w:r w:rsidRPr="00075175">
              <w:rPr>
                <w:rFonts w:asciiTheme="minorHAnsi" w:hAnsiTheme="minorHAnsi"/>
                <w:szCs w:val="24"/>
              </w:rPr>
              <w:t>Gospodarowanie zasobami materialnymi, umożliwiającymi realizację wyznaczonych celów edukacyjnych</w:t>
            </w:r>
            <w:bookmarkEnd w:id="2"/>
          </w:p>
        </w:tc>
      </w:tr>
      <w:tr w:rsidR="001A12CF" w:rsidRPr="00075175" w:rsidTr="001A12CF">
        <w:tc>
          <w:tcPr>
            <w:tcW w:w="9634" w:type="dxa"/>
          </w:tcPr>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3"/>
              </w:numPr>
              <w:outlineLvl w:val="1"/>
              <w:rPr>
                <w:rFonts w:asciiTheme="minorHAnsi" w:hAnsiTheme="minorHAnsi"/>
                <w:sz w:val="24"/>
                <w:szCs w:val="24"/>
              </w:rPr>
            </w:pPr>
            <w:r w:rsidRPr="00075175">
              <w:rPr>
                <w:rFonts w:asciiTheme="minorHAnsi" w:hAnsiTheme="minorHAnsi"/>
                <w:sz w:val="24"/>
                <w:szCs w:val="24"/>
              </w:rPr>
              <w:t>Podstawa prawna działania samorządu</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Omówienie aktualnej podstawy prawnej działania samorządu w analizowanym obszarze, w tym aktualnych regulacji i podejmowanych inicjatyw legislacyjnych (jeśli dotyczy). Jeśli w okresie realizacji zlecenia prowadzone będą prace parlamentarne nad zmianami obowiązującego prawa, ocena ich wpływu na sposób realizacji przez JST zadań oświatowych.</w:t>
            </w:r>
          </w:p>
        </w:tc>
      </w:tr>
      <w:tr w:rsidR="001A12CF" w:rsidRPr="00075175" w:rsidTr="001A12CF">
        <w:trPr>
          <w:trHeight w:val="3059"/>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rPr>
              <w:t>Punktem wyjścia do analizy podstawy prawnej dla obszaru gospodarowania zasobami materialnymi jest art. 10 ust. 1 ustawy Prawo oświatowe. Określa on obowiązki organu prowadzącego szkołę i placówkę. Dotyczą one zapewnienia: bezpiecznych i higienicznych warunków nauki, wychowania i opieki; warunków umożliwiających stosowanie specjalnej organizacji nauki i metod pracy dla dzieci i młodzieży objętych kształceniem specjalnym; wykonywanie remontów obiektów szkolnych oraz zadań inwestycyjnych w tym zakresie; zapewnienie obsługi administracyjnej, prawnej i finansowej; wyposażanie szkoły w pomoce dydaktyczne i sprzęt niezbędny do pełnej realizacji programów nauczania i wychowawczo-profilaktycznych oraz przeprowadzania egzaminów; wykonywanie czynności w sprawach z zakresu prawa pracy w stosunku do dyrektora szkoły lub placówki.</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 xml:space="preserve">Z zarządzaniem bazą materialną wiąże się również kształtowanie sieci szkół (art. 39 ustawy Prawo oświatowe). JST racjonalizują sieci, dostosowując je do potrzeb funkcjonowania wspólnot lokalnych. Samorządy zostały przez ustawodawcę wyposażone w kilka instrumentów w tym zakresie, tj. możliwość: przekazywania prowadzenia szkoły publicznej (art. 9 upo); likwidacji szkoły lub placówki publicznej (art. 89 upo); przekształcenia szkoły lub placówki publicznej (art. 89 upo). </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 xml:space="preserve">Jednak swobodę samorządu w tym zakresie ogranicza obowiązek uzyskania pozytywnej opinii kuratora oświaty w szeregu przypadków: przy ustalaniu planu sieci publicznych szkół (art. 39 ust. 8 upo), przy zatwierdzaniu arkuszy organizacji publicznych szkół i placówek (art. 51 ust. 1 pkt 12 upo); przy przekazywaniu prowadzenia szkoły podmiotowi prywatnemu (art. 9 ust. 1 upo), przy likwidacji szkoły lub placówki publicznej (art. 89 ust. 3 upo). </w:t>
            </w:r>
          </w:p>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[do weryfikacji / uzupełnienia]</w:t>
            </w:r>
            <w:r w:rsidRPr="00075175">
              <w:rPr>
                <w:rFonts w:asciiTheme="minorHAnsi" w:hAnsiTheme="minorHAnsi"/>
                <w:sz w:val="24"/>
                <w:szCs w:val="24"/>
              </w:rPr>
              <w:t xml:space="preserve">  </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3"/>
              </w:numPr>
              <w:outlineLvl w:val="1"/>
              <w:rPr>
                <w:rFonts w:asciiTheme="minorHAnsi" w:hAnsiTheme="minorHAnsi"/>
                <w:sz w:val="24"/>
                <w:szCs w:val="24"/>
              </w:rPr>
            </w:pPr>
            <w:r w:rsidRPr="00075175">
              <w:rPr>
                <w:rFonts w:asciiTheme="minorHAnsi" w:hAnsiTheme="minorHAnsi"/>
                <w:sz w:val="24"/>
                <w:szCs w:val="24"/>
              </w:rPr>
              <w:lastRenderedPageBreak/>
              <w:t>Analiza ilościowa</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Analiza ilościowa zagadnień związanych z badanym obszarem: Jakie usługi / zadania są realizowane? W jakiej ilości / jakości (parametry obiektywne)? Jakim kosztem (koszty jednostkowe)? Jaka jest ich dostępność dla mieszkańców gminy / powiatu? Zaproponowanie i omówienie wskaźników kontekstowych ważnych dla interpretacji danych ilościowych.</w:t>
            </w:r>
          </w:p>
        </w:tc>
      </w:tr>
      <w:tr w:rsidR="001A12CF" w:rsidRPr="00075175" w:rsidTr="001A12CF">
        <w:trPr>
          <w:trHeight w:val="2249"/>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rPr>
              <w:t xml:space="preserve">Możliwości wywiązania się z uwarunkowań prawnych i efektywnego gospodarowania zasobami materialnymi, kształtowane są przez wiele czynników. </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 xml:space="preserve">Kluczowe znaczenie ma aspekt finansowy, w tym wolumen dochodów (a w nim przekazywana z budżetu państwa część oświatowa subwencji ogólnej) oraz analiza wydatków budżetu JST. </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 xml:space="preserve">Ze względu na temat opracowania głównym przedmiotem analizy powinny być wydatki majątkowe według obowiązującej klasyfikacji budżetowej, co pozwoli zorientować się co do struktury wydatków i ich wysokości. </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Odpowiednie łączenie elementów klasyfikacji budżetowej pozwalana na agregowanie danych porównawczych w różnych konfiguracjach (np. proporcji wydatków majątkowych na oświatę w wydatkach majątkowych JST ogółem, udziału w wydatkach majątkowych wydatków z różnych źródeł (np. własnych, budżetu państwa i unijnych) oraz analiza w/w w rozbiciu na poszczególne kategorie JST.</w:t>
            </w:r>
          </w:p>
          <w:p w:rsidR="001A12CF" w:rsidRPr="00075175" w:rsidRDefault="001A12CF" w:rsidP="001A12CF">
            <w:pPr>
              <w:rPr>
                <w:rFonts w:asciiTheme="minorHAnsi" w:hAnsiTheme="minorHAnsi"/>
                <w:sz w:val="24"/>
                <w:szCs w:val="24"/>
                <w:u w:val="single"/>
              </w:rPr>
            </w:pPr>
            <w:r w:rsidRPr="00075175">
              <w:rPr>
                <w:rFonts w:asciiTheme="minorHAnsi" w:hAnsiTheme="minorHAnsi"/>
                <w:sz w:val="24"/>
                <w:szCs w:val="24"/>
                <w:u w:val="single"/>
              </w:rPr>
              <w:t>Przykładowe wskaźniki:</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Wykorzystanie pomieszczeń lekcyjnych</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Bieżące wydatki na zadania oświatowe jako procent otrzymanej subwencji oświatowej</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Wydatki bieżące na zadania oświatowe w przeliczeniu na jednego ucznia / jeden oddział</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Wydatki majątkowe w stosunku do całkowitych wydatków na zadania oświatowe i edukacyjną opiekę wychowawczą</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Wydatki finansowane z funduszy strukturalnych UE i innych środków bezzwrotnych jako procent całkowitych wydatków na zadania oświatowe i edukacyjną opiekę wychowawczą</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Wydatki majątkowe w oświacie i edukacyjnej opiece wychowawczej w stosunku do całkowitych wydatków majątkowych JST</w:t>
            </w:r>
          </w:p>
          <w:p w:rsidR="001A12CF" w:rsidRPr="00075175" w:rsidRDefault="001A12CF" w:rsidP="001A12CF">
            <w:pPr>
              <w:rPr>
                <w:rFonts w:asciiTheme="minorHAnsi" w:hAnsiTheme="minorHAnsi"/>
                <w:sz w:val="24"/>
                <w:szCs w:val="24"/>
                <w:highlight w:val="yellow"/>
              </w:rPr>
            </w:pPr>
            <w:r w:rsidRPr="00075175">
              <w:rPr>
                <w:rFonts w:asciiTheme="minorHAnsi" w:hAnsiTheme="minorHAnsi"/>
                <w:sz w:val="24"/>
                <w:szCs w:val="24"/>
                <w:highlight w:val="yellow"/>
              </w:rPr>
              <w:t xml:space="preserve"> [Do uzupełnienia – W poszukiwaniu propozycji wskaźników ilościowych na ten temat może pomóc lektura opracowania M.Tobora i J.M. Czajkowskiego (załącznik nr 2) oraz opracowania </w:t>
            </w:r>
            <w:hyperlink r:id="rId8" w:history="1">
              <w:r w:rsidRPr="00075175">
                <w:rPr>
                  <w:rStyle w:val="Hipercze"/>
                  <w:rFonts w:asciiTheme="minorHAnsi" w:hAnsiTheme="minorHAnsi"/>
                  <w:sz w:val="24"/>
                  <w:szCs w:val="24"/>
                </w:rPr>
                <w:t>J.Herczyński „Wskaźniki oświatowe”</w:t>
              </w:r>
            </w:hyperlink>
            <w:r w:rsidRPr="00075175">
              <w:rPr>
                <w:rFonts w:asciiTheme="minorHAnsi" w:hAnsiTheme="minorHAnsi"/>
                <w:sz w:val="24"/>
                <w:szCs w:val="24"/>
                <w:highlight w:val="yellow"/>
              </w:rPr>
              <w:t>]</w:t>
            </w:r>
          </w:p>
          <w:p w:rsidR="001A12CF" w:rsidRPr="00075175" w:rsidRDefault="001A12CF" w:rsidP="001A12CF">
            <w:pPr>
              <w:rPr>
                <w:rFonts w:asciiTheme="minorHAnsi" w:hAnsiTheme="minorHAnsi"/>
                <w:sz w:val="24"/>
                <w:szCs w:val="24"/>
                <w:highlight w:val="yellow"/>
              </w:rPr>
            </w:pPr>
          </w:p>
          <w:p w:rsidR="001A12CF" w:rsidRPr="00075175" w:rsidRDefault="001A12CF" w:rsidP="001A12CF">
            <w:pPr>
              <w:rPr>
                <w:rFonts w:asciiTheme="minorHAnsi" w:hAnsiTheme="minorHAnsi"/>
                <w:sz w:val="24"/>
                <w:szCs w:val="24"/>
                <w:highlight w:val="yellow"/>
              </w:rPr>
            </w:pPr>
          </w:p>
        </w:tc>
      </w:tr>
      <w:tr w:rsidR="001A12CF" w:rsidRPr="00075175" w:rsidTr="001A12CF">
        <w:trPr>
          <w:trHeight w:val="584"/>
        </w:trPr>
        <w:tc>
          <w:tcPr>
            <w:tcW w:w="9634" w:type="dxa"/>
          </w:tcPr>
          <w:p w:rsidR="001A12CF" w:rsidRPr="00075175" w:rsidRDefault="001A12CF" w:rsidP="00225D72">
            <w:pPr>
              <w:pStyle w:val="Nagwek2"/>
              <w:numPr>
                <w:ilvl w:val="0"/>
                <w:numId w:val="33"/>
              </w:numPr>
              <w:outlineLvl w:val="1"/>
              <w:rPr>
                <w:rFonts w:asciiTheme="minorHAnsi" w:hAnsiTheme="minorHAnsi"/>
                <w:sz w:val="24"/>
                <w:szCs w:val="24"/>
              </w:rPr>
            </w:pPr>
            <w:r w:rsidRPr="00075175">
              <w:rPr>
                <w:rFonts w:asciiTheme="minorHAnsi" w:hAnsiTheme="minorHAnsi"/>
                <w:sz w:val="24"/>
                <w:szCs w:val="24"/>
              </w:rPr>
              <w:t>Rola organu prowadzącego</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 xml:space="preserve">Instrukcja: Prezentacja roli organu prowadzącego w badanym obszarze: cel, zasady i formy możliwego działania wraz z ich charakterystyką oraz przedstawieniem zróżnicowanych podejść i uwarunkowań instytucjonalnych. Wynikiem tej części analizy powinna być lista zadań / funkcji, </w:t>
            </w:r>
            <w:r w:rsidRPr="00075175">
              <w:rPr>
                <w:rFonts w:asciiTheme="minorHAnsi" w:hAnsiTheme="minorHAnsi"/>
                <w:i/>
                <w:sz w:val="24"/>
                <w:szCs w:val="24"/>
              </w:rPr>
              <w:lastRenderedPageBreak/>
              <w:t>które powinny być / mogą być realizowane przez JST w tym zakresie.</w:t>
            </w:r>
          </w:p>
        </w:tc>
      </w:tr>
      <w:tr w:rsidR="001A12CF" w:rsidRPr="00075175" w:rsidTr="001A12CF">
        <w:trPr>
          <w:trHeight w:val="4316"/>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rPr>
              <w:lastRenderedPageBreak/>
              <w:t>Rola organu prowadzącego w zakresie gospodarowania zasobami materialnymi lokalnego systemu edukacyjnego wiąże się z kilkoma zasadniczymi funkcjami / zadaniami:</w:t>
            </w:r>
          </w:p>
          <w:p w:rsidR="001A12CF" w:rsidRPr="00075175" w:rsidRDefault="001A12CF" w:rsidP="001A12CF">
            <w:pPr>
              <w:pStyle w:val="Akapitzlist"/>
              <w:numPr>
                <w:ilvl w:val="0"/>
                <w:numId w:val="20"/>
              </w:numPr>
              <w:spacing w:after="120"/>
              <w:ind w:left="357" w:hanging="357"/>
              <w:rPr>
                <w:rFonts w:asciiTheme="minorHAnsi" w:hAnsiTheme="minorHAnsi"/>
                <w:sz w:val="24"/>
                <w:szCs w:val="24"/>
              </w:rPr>
            </w:pPr>
            <w:r w:rsidRPr="00075175">
              <w:rPr>
                <w:rFonts w:asciiTheme="minorHAnsi" w:hAnsiTheme="minorHAnsi"/>
                <w:sz w:val="24"/>
                <w:szCs w:val="24"/>
              </w:rPr>
              <w:t>Regularne inwentaryzowanie posiadanych zasobów oraz analiza ich wykorzystania na poziomie pojedynczych szkół i placówek oraz na poziomie całej jednostki samorządu - Analiza powinna być prowadzona pod kątem zidentyfikowanych potrzeb lokalnego systemu oraz z uwzględnieniem zmian zachodzących w jego otoczeniu (zwłaszcza zmiany demograficzne i sytuacji na rynku pracy).</w:t>
            </w:r>
          </w:p>
          <w:p w:rsidR="001A12CF" w:rsidRPr="00075175" w:rsidRDefault="001A12CF" w:rsidP="001A12CF">
            <w:pPr>
              <w:pStyle w:val="Akapitzlist"/>
              <w:numPr>
                <w:ilvl w:val="0"/>
                <w:numId w:val="20"/>
              </w:numPr>
              <w:spacing w:after="120"/>
              <w:ind w:left="357" w:hanging="357"/>
              <w:rPr>
                <w:rFonts w:asciiTheme="minorHAnsi" w:hAnsiTheme="minorHAnsi"/>
                <w:sz w:val="24"/>
                <w:szCs w:val="24"/>
              </w:rPr>
            </w:pPr>
            <w:r w:rsidRPr="00075175">
              <w:rPr>
                <w:rFonts w:asciiTheme="minorHAnsi" w:hAnsiTheme="minorHAnsi"/>
                <w:sz w:val="24"/>
                <w:szCs w:val="24"/>
              </w:rPr>
              <w:t xml:space="preserve">Bieżące administrowanie zasobami systemu oświaty oraz inicjowanie działań restrukturyzacyjnych, poprawiających jakoś bazy i efektywność jej wykorzystania - Wykorzystanie wniosków z prowadzonych analiz; tworzenie planów inwestycyjnych pod kątem funduszy własnych oraz pozyskiwanych z zewnętrz. </w:t>
            </w:r>
          </w:p>
          <w:p w:rsidR="001A12CF" w:rsidRPr="00075175" w:rsidRDefault="001A12CF" w:rsidP="001A12CF">
            <w:pPr>
              <w:pStyle w:val="Akapitzlist"/>
              <w:numPr>
                <w:ilvl w:val="0"/>
                <w:numId w:val="20"/>
              </w:numPr>
              <w:spacing w:after="120"/>
              <w:ind w:left="357" w:hanging="357"/>
              <w:rPr>
                <w:rFonts w:asciiTheme="minorHAnsi" w:hAnsiTheme="minorHAnsi"/>
                <w:sz w:val="24"/>
                <w:szCs w:val="24"/>
              </w:rPr>
            </w:pPr>
            <w:r w:rsidRPr="00075175">
              <w:rPr>
                <w:rFonts w:asciiTheme="minorHAnsi" w:hAnsiTheme="minorHAnsi"/>
                <w:sz w:val="24"/>
                <w:szCs w:val="24"/>
              </w:rPr>
              <w:t>Pozyskiwanie zewnętrznego finansowania na realizację celów oświatowych.</w:t>
            </w:r>
          </w:p>
          <w:p w:rsidR="001A12CF" w:rsidRPr="00075175" w:rsidRDefault="001A12CF" w:rsidP="001A12CF">
            <w:pPr>
              <w:pStyle w:val="Akapitzlist"/>
              <w:numPr>
                <w:ilvl w:val="0"/>
                <w:numId w:val="20"/>
              </w:numPr>
              <w:spacing w:after="120"/>
              <w:ind w:left="357" w:hanging="357"/>
              <w:rPr>
                <w:rFonts w:asciiTheme="minorHAnsi" w:hAnsiTheme="minorHAnsi"/>
                <w:sz w:val="24"/>
                <w:szCs w:val="24"/>
              </w:rPr>
            </w:pPr>
            <w:r w:rsidRPr="00075175">
              <w:rPr>
                <w:rFonts w:asciiTheme="minorHAnsi" w:hAnsiTheme="minorHAnsi"/>
                <w:sz w:val="24"/>
                <w:szCs w:val="24"/>
              </w:rPr>
              <w:t>Rozwijanie kompetencji kadry organów prowadzących w zakresie  analizy i optymalizacji kosztów oraz prognozowania zapotrzebowania.</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W przypadku działań optymalizujących lokalną sieć szkół / placówek organ prowadzący musi się wykazać umiejętnością angażowania lokalnych interesariuszy (w tym przede wszystkim uczniów i ich rodziców) i prowadzenia dialogu.</w:t>
            </w:r>
          </w:p>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[Powyższy tekst jedynie sygnalizuje przykładowe kierunki analizy. Prosimy o rozwinięcie m.in. wątku dot. likwidacji szkół oraz zarządzania majątkiem po zlikwidowanych szkołach. - Do weryfikacji /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3"/>
              </w:numPr>
              <w:outlineLvl w:val="1"/>
              <w:rPr>
                <w:rFonts w:asciiTheme="minorHAnsi" w:hAnsiTheme="minorHAnsi"/>
                <w:sz w:val="24"/>
                <w:szCs w:val="24"/>
              </w:rPr>
            </w:pPr>
            <w:r w:rsidRPr="00075175">
              <w:rPr>
                <w:rFonts w:asciiTheme="minorHAnsi" w:hAnsiTheme="minorHAnsi"/>
                <w:sz w:val="24"/>
                <w:szCs w:val="24"/>
              </w:rPr>
              <w:t>Narzędzia i rozwiązania zarządcze</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Wykonawca powinien systematycznie opisać znane mu narzędzia i rozwiązania zarządcze wykorzystywane w celu realizacji kluczowych zadań i funkcji organu prowadzącego w danym obszarze. Oczekujemy, że każdej z funkcji wspomnianych w pkt. 3 zostaną przypisane co najmniej 2 różne rozwiązania zarządcze.</w:t>
            </w:r>
          </w:p>
        </w:tc>
      </w:tr>
      <w:tr w:rsidR="001A12CF" w:rsidRPr="00075175" w:rsidTr="001A12CF">
        <w:trPr>
          <w:trHeight w:val="28"/>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[do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3"/>
              </w:numPr>
              <w:outlineLvl w:val="1"/>
              <w:rPr>
                <w:rFonts w:asciiTheme="minorHAnsi" w:hAnsiTheme="minorHAnsi"/>
                <w:sz w:val="24"/>
                <w:szCs w:val="24"/>
              </w:rPr>
            </w:pPr>
            <w:r w:rsidRPr="00075175">
              <w:rPr>
                <w:rFonts w:asciiTheme="minorHAnsi" w:hAnsiTheme="minorHAnsi"/>
                <w:sz w:val="24"/>
                <w:szCs w:val="24"/>
              </w:rPr>
              <w:t>Dobre praktyki</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 xml:space="preserve">Instrukcja: - Nie zakładamy tworzenia nowych opisów dobrej praktyki. Wykonawca powinien natomiast dokonać przeglądu i analizy dostępnych opracowań oraz dobrać przykłady prezentujące wzorcowe podejście samorządów do zarządzania oświatą w badanym obszarze*. Wybrane praktyki powinny zostać opatrzone komentarzem, wyjaśniającym: Jakiego zadania </w:t>
            </w:r>
            <w:r w:rsidRPr="00075175">
              <w:rPr>
                <w:rFonts w:asciiTheme="minorHAnsi" w:hAnsiTheme="minorHAnsi"/>
                <w:i/>
                <w:sz w:val="24"/>
                <w:szCs w:val="24"/>
              </w:rPr>
              <w:lastRenderedPageBreak/>
              <w:t>dotyczą? W jakiej mierze są ilustracją omówionych wcześniej narzędzi? Kto i dlaczego powinien się zapoznać z opisem? Na co ma zwrócić uwagę?</w:t>
            </w:r>
          </w:p>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Oczekujemy, że każde z narzędzi zarządczych omawianych w ramach pkt 4 zostanie zilustrowane odniesieniem do co najmniej dwóch przykładów jego skutecznego zastosowania w samorządach różnego typu. Jeśli dane rozwiązanie nie doczekało się jeszcze pełnej adaptacji w polskich warunkach, możliwe jest podanie wdrożeń częściowych i wzorców zagranicznych.</w:t>
            </w:r>
          </w:p>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 Wykonawca może również wskazać znane mu ośrodki, gdzie wdrażane są innowacyjne rozwiązania, nawet jeśli nie doczekały się one jeszcze publikacji w formie opisu dobrej praktyki. W takim przypadku oczekujemy podania namiarów na osobę kontaktową, która może dostarczyć szczegółowych informacji na ten temat.</w:t>
            </w:r>
          </w:p>
        </w:tc>
      </w:tr>
      <w:tr w:rsidR="001A12CF" w:rsidRPr="00075175" w:rsidTr="001A12CF">
        <w:trPr>
          <w:trHeight w:val="28"/>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lastRenderedPageBreak/>
              <w:t>[do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3"/>
              </w:numPr>
              <w:outlineLvl w:val="1"/>
              <w:rPr>
                <w:rFonts w:asciiTheme="minorHAnsi" w:hAnsiTheme="minorHAnsi"/>
                <w:sz w:val="24"/>
                <w:szCs w:val="24"/>
              </w:rPr>
            </w:pPr>
            <w:r w:rsidRPr="00075175">
              <w:rPr>
                <w:rFonts w:asciiTheme="minorHAnsi" w:hAnsiTheme="minorHAnsi"/>
                <w:sz w:val="24"/>
                <w:szCs w:val="24"/>
              </w:rPr>
              <w:t>Analiza kluczowych problemów</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Wykonawca powinien wskazać kluczowe bariery utrudniające prawidłową realizację funkcji i zadań wymienionych pkt 3. (np. Ograniczenia mogą wynikać z uwarunkowań prawnych i systemowych, wiązać się z postawami lub kompetencjami kadry zarządzającej, brakiem odpowiednich zasobów, uwarunkowaniami instytucjonalnymi, itp.) Oczekuje się, że Wykonawca oceni względną wagę danego problemu, zidentyfikuje jego źródła oraz zaproponuje kierunki działań, które należałoby podjąć w celu jego rozwiązania.</w:t>
            </w:r>
          </w:p>
        </w:tc>
      </w:tr>
      <w:tr w:rsidR="001A12CF" w:rsidRPr="00075175" w:rsidTr="001A12CF">
        <w:trPr>
          <w:trHeight w:val="28"/>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[do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3"/>
              </w:numPr>
              <w:outlineLvl w:val="1"/>
              <w:rPr>
                <w:rFonts w:asciiTheme="minorHAnsi" w:hAnsiTheme="minorHAnsi"/>
                <w:sz w:val="24"/>
                <w:szCs w:val="24"/>
              </w:rPr>
            </w:pPr>
            <w:r w:rsidRPr="00075175">
              <w:rPr>
                <w:rFonts w:asciiTheme="minorHAnsi" w:hAnsiTheme="minorHAnsi"/>
                <w:sz w:val="24"/>
                <w:szCs w:val="24"/>
              </w:rPr>
              <w:t>Trendy i tendencje w rozwoju obszaru</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W oparciu o przegląd dostępnej literatury Wykonawca zaprezentuje krótko najciekawsze zjawiska, tendencje i prawidłowości obserwowane w Polsce i za granicą w zakresie zarządzania oświatą w analizowanym obszarze. Porówna je między sobą i z dominującą w kraju praktyką. Oczekuje się, że przegląd zostanie uzupełniony bibliografią wykorzystanych publikacji oraz linkami do witryn ośrodków – aktywnych w zakresie wspomnianych w tekście innowacji i prac koncepcyjnych.</w:t>
            </w:r>
          </w:p>
        </w:tc>
      </w:tr>
      <w:tr w:rsidR="001A12CF" w:rsidRPr="00075175" w:rsidTr="001A12CF">
        <w:trPr>
          <w:trHeight w:val="268"/>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[do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bl>
    <w:p w:rsidR="001A12CF" w:rsidRPr="00075175" w:rsidRDefault="001A12CF">
      <w:pPr>
        <w:spacing w:after="200" w:line="276" w:lineRule="auto"/>
        <w:jc w:val="left"/>
        <w:rPr>
          <w:rFonts w:asciiTheme="minorHAnsi" w:hAnsiTheme="minorHAnsi"/>
          <w:sz w:val="24"/>
          <w:szCs w:val="24"/>
        </w:rPr>
      </w:pPr>
    </w:p>
    <w:p w:rsidR="001A12CF" w:rsidRPr="00075175" w:rsidRDefault="001A12CF">
      <w:pPr>
        <w:spacing w:after="200" w:line="276" w:lineRule="auto"/>
        <w:jc w:val="left"/>
        <w:rPr>
          <w:rFonts w:asciiTheme="minorHAnsi" w:hAnsiTheme="minorHAnsi"/>
          <w:sz w:val="24"/>
          <w:szCs w:val="24"/>
        </w:rPr>
      </w:pPr>
      <w:r w:rsidRPr="00075175">
        <w:rPr>
          <w:rFonts w:asciiTheme="minorHAnsi" w:hAnsiTheme="minorHAnsi"/>
          <w:sz w:val="24"/>
          <w:szCs w:val="24"/>
        </w:rPr>
        <w:br w:type="page"/>
      </w:r>
    </w:p>
    <w:tbl>
      <w:tblPr>
        <w:tblStyle w:val="Tabela-Siatka"/>
        <w:tblW w:w="9634" w:type="dxa"/>
        <w:tblLayout w:type="fixed"/>
        <w:tblCellMar>
          <w:top w:w="57" w:type="dxa"/>
          <w:left w:w="85" w:type="dxa"/>
          <w:bottom w:w="57" w:type="dxa"/>
          <w:right w:w="85" w:type="dxa"/>
        </w:tblCellMar>
        <w:tblLook w:val="04A0"/>
      </w:tblPr>
      <w:tblGrid>
        <w:gridCol w:w="9634"/>
      </w:tblGrid>
      <w:tr w:rsidR="001A12CF" w:rsidRPr="00075175" w:rsidTr="001A12CF">
        <w:tc>
          <w:tcPr>
            <w:tcW w:w="9634" w:type="dxa"/>
          </w:tcPr>
          <w:p w:rsidR="00C60611" w:rsidRPr="00075175" w:rsidRDefault="00C60611" w:rsidP="00C60611">
            <w:pPr>
              <w:rPr>
                <w:rFonts w:asciiTheme="minorHAnsi" w:hAnsiTheme="minorHAnsi" w:cs="Arial"/>
                <w:b/>
                <w:sz w:val="24"/>
                <w:szCs w:val="24"/>
              </w:rPr>
            </w:pPr>
            <w:r w:rsidRPr="00075175">
              <w:rPr>
                <w:rFonts w:asciiTheme="minorHAnsi" w:hAnsiTheme="minorHAnsi" w:cs="Arial"/>
                <w:b/>
                <w:sz w:val="24"/>
                <w:szCs w:val="24"/>
              </w:rPr>
              <w:lastRenderedPageBreak/>
              <w:t>Wsparcie kadry jednostek samorządu terytorialnego w zarządzaniu oświatą ukierunkowanym na rozwój szkół i kompetencji kluczowych uczniów  (POWR.02.10.00-IP.02-00-003/15)</w:t>
            </w:r>
          </w:p>
          <w:p w:rsidR="00C60611" w:rsidRPr="00075175" w:rsidRDefault="00C60611" w:rsidP="00C60611">
            <w:pPr>
              <w:pStyle w:val="Tytu"/>
              <w:rPr>
                <w:rFonts w:asciiTheme="minorHAnsi" w:hAnsiTheme="minorHAnsi" w:cs="Arial"/>
                <w:sz w:val="24"/>
                <w:szCs w:val="24"/>
              </w:rPr>
            </w:pPr>
            <w:r w:rsidRPr="00075175">
              <w:rPr>
                <w:rFonts w:asciiTheme="minorHAnsi" w:hAnsiTheme="minorHAnsi" w:cs="Arial"/>
                <w:sz w:val="24"/>
                <w:szCs w:val="24"/>
              </w:rPr>
              <w:t xml:space="preserve">Strategiczny przegląd sytuacji w obszarze 10: </w:t>
            </w:r>
          </w:p>
          <w:p w:rsidR="001A12CF" w:rsidRPr="00075175" w:rsidRDefault="001A12CF" w:rsidP="001A12CF">
            <w:pPr>
              <w:pStyle w:val="Nagwek1"/>
              <w:outlineLvl w:val="0"/>
              <w:rPr>
                <w:rFonts w:asciiTheme="minorHAnsi" w:hAnsiTheme="minorHAnsi" w:cs="Arial"/>
                <w:szCs w:val="24"/>
              </w:rPr>
            </w:pPr>
            <w:bookmarkStart w:id="3" w:name="_Toc494887097"/>
            <w:r w:rsidRPr="00075175">
              <w:rPr>
                <w:rFonts w:asciiTheme="minorHAnsi" w:hAnsiTheme="minorHAnsi" w:cs="Arial"/>
                <w:szCs w:val="24"/>
              </w:rPr>
              <w:t>Planowanie budżetowe</w:t>
            </w:r>
            <w:bookmarkEnd w:id="3"/>
            <w:r w:rsidRPr="00075175">
              <w:rPr>
                <w:rFonts w:asciiTheme="minorHAnsi" w:hAnsiTheme="minorHAnsi" w:cs="Arial"/>
                <w:szCs w:val="24"/>
              </w:rPr>
              <w:t xml:space="preserve">  </w:t>
            </w:r>
          </w:p>
        </w:tc>
      </w:tr>
      <w:tr w:rsidR="001A12CF" w:rsidRPr="00075175" w:rsidTr="001A12CF">
        <w:tc>
          <w:tcPr>
            <w:tcW w:w="9634" w:type="dxa"/>
          </w:tcPr>
          <w:p w:rsidR="001A12CF" w:rsidRPr="00075175" w:rsidRDefault="001A12CF" w:rsidP="001A12CF">
            <w:pPr>
              <w:rPr>
                <w:rFonts w:asciiTheme="minorHAnsi" w:hAnsiTheme="minorHAnsi" w:cs="Arial"/>
                <w:sz w:val="24"/>
                <w:szCs w:val="24"/>
              </w:rPr>
            </w:pPr>
          </w:p>
        </w:tc>
      </w:tr>
      <w:tr w:rsidR="001A12CF" w:rsidRPr="00075175" w:rsidTr="001A12CF">
        <w:tc>
          <w:tcPr>
            <w:tcW w:w="9634" w:type="dxa"/>
          </w:tcPr>
          <w:p w:rsidR="001A12CF" w:rsidRPr="00075175" w:rsidRDefault="001A12CF" w:rsidP="00225D72">
            <w:pPr>
              <w:pStyle w:val="Nagwek2"/>
              <w:numPr>
                <w:ilvl w:val="0"/>
                <w:numId w:val="34"/>
              </w:numPr>
              <w:outlineLvl w:val="1"/>
              <w:rPr>
                <w:rFonts w:asciiTheme="minorHAnsi" w:hAnsiTheme="minorHAnsi" w:cs="Arial"/>
                <w:sz w:val="24"/>
                <w:szCs w:val="24"/>
              </w:rPr>
            </w:pPr>
            <w:r w:rsidRPr="00075175">
              <w:rPr>
                <w:rFonts w:asciiTheme="minorHAnsi" w:hAnsiTheme="minorHAnsi" w:cs="Arial"/>
                <w:sz w:val="24"/>
                <w:szCs w:val="24"/>
              </w:rPr>
              <w:t>Podstawa prawna działania samorządu</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cs="Arial"/>
                <w:i/>
                <w:sz w:val="24"/>
                <w:szCs w:val="24"/>
              </w:rPr>
            </w:pPr>
            <w:r w:rsidRPr="00075175">
              <w:rPr>
                <w:rFonts w:asciiTheme="minorHAnsi" w:hAnsiTheme="minorHAnsi" w:cs="Arial"/>
                <w:i/>
                <w:sz w:val="24"/>
                <w:szCs w:val="24"/>
              </w:rPr>
              <w:t>Instrukcja: Omówienie aktualnej podstawy prawnej działania samorządu w analizowanym obszarze, w tym aktualnych regulacji i podejmowanych inicjatyw legislacyjnych (jeśli dotyczy). Jeśli w okresie realizacji zlecenia prowadzone będą prace parlamentarne nad zmianami obowiązującego prawa, ocena ich wpływu na sposób realizacji przez JST zadań oświatowych.</w:t>
            </w:r>
          </w:p>
        </w:tc>
      </w:tr>
      <w:tr w:rsidR="001A12CF" w:rsidRPr="00075175" w:rsidTr="001A12CF">
        <w:trPr>
          <w:trHeight w:val="3059"/>
        </w:trPr>
        <w:tc>
          <w:tcPr>
            <w:tcW w:w="9634" w:type="dxa"/>
          </w:tcPr>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rPr>
              <w:t xml:space="preserve">Zgodnie z art. 11 ust. 1 ustawy – Prawo oświatowe zadania oświatowe jednostek samorządu terytorialnego są finansowane na zasadach określonych w odrębnych ustawach. Natomiast środki niezbędne do realizacji zadań oświatowych tj. zapewnienie kształcenia, wychowania i opieki, w tym kształcenia specjalnego i profilaktyki społecznej, zapewnienie dodatkowej, bezpłatnej nauki języka polskiego, zapewnienie warunków prowadzenia kwalifikacyjnych kursów zawodowych w szkołach i placówkach prowadzonych przez powiat; w tym na wynagrodzenia nauczycieli oraz utrzymanie szkół i placówek, są zagwarantowane w dochodach jednostek samorządu terytorialnego. Źródła dochodów jednostek samorządu terytorialnego określa art. 3 ustawy o dochodach jednostek samorządu terytorialnego. Podstawowym źródłem finansowania zadań oświatowych jest część oświatowa subwencji ogólnej (art. 28 ustawy o dochodach jednostek samorządu terytorialnego). Sposób podziału części oświatowej subwencji ogólnej między poszczególne jednostki samorządu terytorialnego określa na dany rok rozporządzenie wydane na podstawie art. 28 ust. 6 ustawy o dochodach jednostek samorządu terytorialnego. </w:t>
            </w:r>
          </w:p>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rPr>
              <w:t>Jednym z podstawowych dokumentów regulujących proces budżetowy w oświacie jest arkusz organizacji szkoły / przedszkola. Zatwierdzanie arkuszy organizacyjnych przez organ prowadzący jest swoistym zobowiązaniem JST do sfinansowania wszystkich ujętych w nim działań. Regulacje dotyczące procedury zatwierdzania arkuszy zostały wprowadzone w art. 110 ustawy – Prawo oświatowe, natomiast ustawodawca dokonał ich uszczegółowienia w §17 rozporządzenia Ministra Edukacji Narodowej z dnia 17 marca 2017 r. w sprawie szczegółowej organizacji publicznych szkół i publicznych przedszkoli.</w:t>
            </w:r>
          </w:p>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rPr>
              <w:t xml:space="preserve">Planowanie finansów na działalność jednostek oświatowych jest integralną częścią prac nad projektem budżetu jednostek samorządu terytorialnego, którego zakres i szczegółowość oraz zasady i tryb planowania, uchwalania i wykonywania określa ustawa z dnia 27 sierpnia 2009 r. o finansach publicznych. Na podstawie art. 234 ustawy o finansach publicznych organy stanowiące doprecyzowują w odrębnych uchwałach tryb prac nad projektem uchwały budżetowej, określając obowiązujące terminy, jego szczegółowość (jeśli jest większa niż wymagana ustawą), wymogi dotyczące uzasadnienia oraz materiałów informacyjnych towarzyszących uchwale budżetowej. Procedurę tworzenia planów finansowych na działalność jednostek oświatowych a także wprowadzania zmian w planach finansowych określają przepisy rozporządzenia Ministra Finansów z dnia 7 grudnia 2010 r. w sprawie sposobu prowadzenia gospodarki finansowej </w:t>
            </w:r>
            <w:r w:rsidRPr="00075175">
              <w:rPr>
                <w:rFonts w:asciiTheme="minorHAnsi" w:hAnsiTheme="minorHAnsi" w:cs="Arial"/>
                <w:sz w:val="24"/>
                <w:szCs w:val="24"/>
              </w:rPr>
              <w:lastRenderedPageBreak/>
              <w:t>jednostek budżetowych i samorządowych zakładów budżetowych.</w:t>
            </w:r>
          </w:p>
          <w:p w:rsidR="001A12CF" w:rsidRPr="00075175" w:rsidRDefault="001A12CF" w:rsidP="001A12CF">
            <w:pPr>
              <w:spacing w:after="60"/>
              <w:rPr>
                <w:rFonts w:asciiTheme="minorHAnsi" w:hAnsiTheme="minorHAnsi" w:cs="Arial"/>
                <w:sz w:val="24"/>
                <w:szCs w:val="24"/>
              </w:rPr>
            </w:pPr>
            <w:r w:rsidRPr="00075175">
              <w:rPr>
                <w:rFonts w:asciiTheme="minorHAnsi" w:hAnsiTheme="minorHAnsi" w:cs="Arial"/>
                <w:sz w:val="24"/>
                <w:szCs w:val="24"/>
              </w:rPr>
              <w:t>Zgodnie z art. 44 ust. 3 ustawy o finansach publicznych wydatki publiczne, więc także wydatki na oświatę powinny być dokonywane w sposób celowy i oszczędny, z zachowaniem zasad:</w:t>
            </w:r>
          </w:p>
          <w:p w:rsidR="001A12CF" w:rsidRPr="00075175" w:rsidRDefault="001A12CF" w:rsidP="001A12CF">
            <w:pPr>
              <w:spacing w:after="60"/>
              <w:rPr>
                <w:rFonts w:asciiTheme="minorHAnsi" w:hAnsiTheme="minorHAnsi" w:cs="Arial"/>
                <w:sz w:val="24"/>
                <w:szCs w:val="24"/>
              </w:rPr>
            </w:pPr>
            <w:r w:rsidRPr="00075175">
              <w:rPr>
                <w:rFonts w:asciiTheme="minorHAnsi" w:hAnsiTheme="minorHAnsi" w:cs="Arial"/>
                <w:sz w:val="24"/>
                <w:szCs w:val="24"/>
              </w:rPr>
              <w:t>- uzyskiwania najlepszych efektów z danych nakładów,</w:t>
            </w:r>
          </w:p>
          <w:p w:rsidR="001A12CF" w:rsidRPr="00075175" w:rsidRDefault="001A12CF" w:rsidP="001A12CF">
            <w:pPr>
              <w:spacing w:after="60"/>
              <w:rPr>
                <w:rFonts w:asciiTheme="minorHAnsi" w:hAnsiTheme="minorHAnsi" w:cs="Arial"/>
                <w:sz w:val="24"/>
                <w:szCs w:val="24"/>
              </w:rPr>
            </w:pPr>
            <w:r w:rsidRPr="00075175">
              <w:rPr>
                <w:rFonts w:asciiTheme="minorHAnsi" w:hAnsiTheme="minorHAnsi" w:cs="Arial"/>
                <w:sz w:val="24"/>
                <w:szCs w:val="24"/>
              </w:rPr>
              <w:t>- optymalnego doboru metod i środków służących osiągnięciu założonych celów;</w:t>
            </w:r>
          </w:p>
          <w:p w:rsidR="001A12CF" w:rsidRPr="00075175" w:rsidRDefault="001A12CF" w:rsidP="001A12CF">
            <w:pPr>
              <w:spacing w:after="60"/>
              <w:rPr>
                <w:rFonts w:asciiTheme="minorHAnsi" w:hAnsiTheme="minorHAnsi" w:cs="Arial"/>
                <w:sz w:val="24"/>
                <w:szCs w:val="24"/>
              </w:rPr>
            </w:pPr>
            <w:r w:rsidRPr="00075175">
              <w:rPr>
                <w:rFonts w:asciiTheme="minorHAnsi" w:hAnsiTheme="minorHAnsi" w:cs="Arial"/>
                <w:sz w:val="24"/>
                <w:szCs w:val="24"/>
              </w:rPr>
              <w:t>- w sposób umożliwiający terminową realizację zadań;</w:t>
            </w:r>
          </w:p>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rPr>
              <w:t>- w wysokości i terminach wynikających z wcześniej zaciągniętych zobowiązań.</w:t>
            </w:r>
          </w:p>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rPr>
              <w:t xml:space="preserve">W obszarze wynagrodzeń nauczycieli jednym z najistotniejszych obowiązków organu Prowadzącego - mającym wpływ na cały proces budżetowy w oświacie, zarówno na etapie planowania organizacji, planowania finansów jak i realizacji budżetów placówek Oświatowych - jest kwestia średnich wynagrodzeń nauczycieli. Należy w tym zakresie zwrócić uwagę na art. 30 ust. 6 ustawy – Karta Nauczyciela (uchwalanie regulaminów dotyczących niektórych składników wynagrodzenia nauczycieli) a także art. 30a ustawy – Karta Nauczyciela (wyplata dodatków uzupełniających). </w:t>
            </w:r>
          </w:p>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rPr>
              <w:t>Obowiązek analizowania wydatków na wynagrodzenia nauczycieli i wypłaty średnich wynagrodzeń dla nauczycieli został obwarowany obowiązkiem przygotowywania przez samorządy stosownych sprawozdań zgodnie z zasadami określonymi w rozporządzeniu Ministra Edukacji Narodowej z dnia 13 stycznia 2010 r. w sprawie sposobu opracowywania sprawozdania z wysokości średnich wynagrodzeń nauczycieli na poszczególnych stopniach awansu zawodowego w szkołach prowadzonych przez jednostki samorządu terytorialnego.</w:t>
            </w:r>
          </w:p>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rPr>
              <w:t>Z szeroko rozumianym procesem budżetowania wiąże się również temat udzielania dotacji z budżetów JST dla szkół i placówek publicznych i niepublicznych, które są dość istotną pozycją w budżetach oświatowych. Sprawy te regulują art. 80 i art. 90 ustawy o systemie oświaty.</w:t>
            </w:r>
          </w:p>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highlight w:val="yellow"/>
              </w:rPr>
              <w:t xml:space="preserve"> [do weryfikacji / uzupełnienia]</w:t>
            </w:r>
          </w:p>
          <w:p w:rsidR="001A12CF" w:rsidRPr="00075175" w:rsidRDefault="001A12CF" w:rsidP="001A12CF">
            <w:pPr>
              <w:rPr>
                <w:rFonts w:asciiTheme="minorHAnsi" w:hAnsiTheme="minorHAnsi" w:cs="Arial"/>
                <w:sz w:val="24"/>
                <w:szCs w:val="24"/>
              </w:rPr>
            </w:pPr>
          </w:p>
          <w:p w:rsidR="001A12CF" w:rsidRPr="00075175" w:rsidRDefault="001A12CF" w:rsidP="001A12CF">
            <w:pPr>
              <w:rPr>
                <w:rFonts w:asciiTheme="minorHAnsi" w:hAnsiTheme="minorHAnsi" w:cs="Arial"/>
                <w:sz w:val="24"/>
                <w:szCs w:val="24"/>
              </w:rPr>
            </w:pPr>
          </w:p>
        </w:tc>
      </w:tr>
      <w:tr w:rsidR="001A12CF" w:rsidRPr="00075175" w:rsidTr="001A12CF">
        <w:tc>
          <w:tcPr>
            <w:tcW w:w="9634" w:type="dxa"/>
          </w:tcPr>
          <w:p w:rsidR="001A12CF" w:rsidRPr="00075175" w:rsidRDefault="001A12CF" w:rsidP="00225D72">
            <w:pPr>
              <w:pStyle w:val="Nagwek2"/>
              <w:numPr>
                <w:ilvl w:val="0"/>
                <w:numId w:val="34"/>
              </w:numPr>
              <w:outlineLvl w:val="1"/>
              <w:rPr>
                <w:rFonts w:asciiTheme="minorHAnsi" w:hAnsiTheme="minorHAnsi" w:cs="Arial"/>
                <w:sz w:val="24"/>
                <w:szCs w:val="24"/>
              </w:rPr>
            </w:pPr>
            <w:r w:rsidRPr="00075175">
              <w:rPr>
                <w:rFonts w:asciiTheme="minorHAnsi" w:hAnsiTheme="minorHAnsi" w:cs="Arial"/>
                <w:sz w:val="24"/>
                <w:szCs w:val="24"/>
              </w:rPr>
              <w:lastRenderedPageBreak/>
              <w:t>Analiza ilościowa</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cs="Arial"/>
                <w:i/>
                <w:sz w:val="24"/>
                <w:szCs w:val="24"/>
              </w:rPr>
            </w:pPr>
            <w:r w:rsidRPr="00075175">
              <w:rPr>
                <w:rFonts w:asciiTheme="minorHAnsi" w:hAnsiTheme="minorHAnsi" w:cs="Arial"/>
                <w:i/>
                <w:sz w:val="24"/>
                <w:szCs w:val="24"/>
              </w:rPr>
              <w:t>Instrukcja: Analiza ilościowa zagadnień związanych z badanym obszarem: Jakie usługi / zadania są realizowane? W jakiej ilości / jakości (parametry obiektywne)? Jakim kosztem (koszty jednostkowe)? Jaka jest ich dostępność dla mieszkańców gminy / powiatu? Zaproponowanie i omówienie wskaźników kontekstowych ważnych dla interpretacji danych ilościowych.</w:t>
            </w:r>
          </w:p>
        </w:tc>
      </w:tr>
      <w:tr w:rsidR="001A12CF" w:rsidRPr="00075175" w:rsidTr="001A12CF">
        <w:trPr>
          <w:trHeight w:val="1283"/>
        </w:trPr>
        <w:tc>
          <w:tcPr>
            <w:tcW w:w="9634" w:type="dxa"/>
          </w:tcPr>
          <w:p w:rsidR="001A12CF" w:rsidRPr="00075175" w:rsidRDefault="001A12CF" w:rsidP="001A12CF">
            <w:pPr>
              <w:rPr>
                <w:rFonts w:asciiTheme="minorHAnsi" w:hAnsiTheme="minorHAnsi" w:cs="Arial"/>
                <w:sz w:val="24"/>
                <w:szCs w:val="24"/>
                <w:highlight w:val="yellow"/>
              </w:rPr>
            </w:pPr>
            <w:r w:rsidRPr="00075175">
              <w:rPr>
                <w:rFonts w:asciiTheme="minorHAnsi" w:hAnsiTheme="minorHAnsi" w:cs="Arial"/>
                <w:sz w:val="24"/>
                <w:szCs w:val="24"/>
                <w:highlight w:val="yellow"/>
              </w:rPr>
              <w:t xml:space="preserve">[Do uzupełnienia – W poszukiwaniu propozycji wskaźników ilościowych na ten temat może pomóc lektura opracowania M.Tobora i J.M. Czajkowskiego (załącznik nr 2) oraz opracowania </w:t>
            </w:r>
            <w:hyperlink r:id="rId9" w:history="1">
              <w:r w:rsidRPr="00075175">
                <w:rPr>
                  <w:rStyle w:val="Hipercze"/>
                  <w:rFonts w:asciiTheme="minorHAnsi" w:hAnsiTheme="minorHAnsi" w:cs="Arial"/>
                  <w:sz w:val="24"/>
                  <w:szCs w:val="24"/>
                </w:rPr>
                <w:t>J.Herczyński „Wskaźniki oświatowe”</w:t>
              </w:r>
            </w:hyperlink>
            <w:r w:rsidRPr="00075175">
              <w:rPr>
                <w:rFonts w:asciiTheme="minorHAnsi" w:hAnsiTheme="minorHAnsi" w:cs="Arial"/>
                <w:sz w:val="24"/>
                <w:szCs w:val="24"/>
                <w:highlight w:val="yellow"/>
              </w:rPr>
              <w:t>]</w:t>
            </w:r>
          </w:p>
          <w:p w:rsidR="001A12CF" w:rsidRPr="00075175" w:rsidRDefault="001A12CF" w:rsidP="001A12CF">
            <w:pPr>
              <w:rPr>
                <w:rFonts w:asciiTheme="minorHAnsi" w:hAnsiTheme="minorHAnsi" w:cs="Arial"/>
                <w:sz w:val="24"/>
                <w:szCs w:val="24"/>
                <w:highlight w:val="yellow"/>
              </w:rPr>
            </w:pPr>
          </w:p>
          <w:p w:rsidR="001A12CF" w:rsidRPr="00075175" w:rsidRDefault="001A12CF" w:rsidP="001A12CF">
            <w:pPr>
              <w:rPr>
                <w:rFonts w:asciiTheme="minorHAnsi" w:hAnsiTheme="minorHAnsi" w:cs="Arial"/>
                <w:sz w:val="24"/>
                <w:szCs w:val="24"/>
                <w:highlight w:val="yellow"/>
              </w:rPr>
            </w:pPr>
          </w:p>
        </w:tc>
      </w:tr>
      <w:tr w:rsidR="001A12CF" w:rsidRPr="00075175" w:rsidTr="001A12CF">
        <w:trPr>
          <w:trHeight w:val="584"/>
        </w:trPr>
        <w:tc>
          <w:tcPr>
            <w:tcW w:w="9634" w:type="dxa"/>
          </w:tcPr>
          <w:p w:rsidR="001A12CF" w:rsidRPr="00075175" w:rsidRDefault="001A12CF" w:rsidP="00225D72">
            <w:pPr>
              <w:pStyle w:val="Nagwek2"/>
              <w:numPr>
                <w:ilvl w:val="0"/>
                <w:numId w:val="34"/>
              </w:numPr>
              <w:outlineLvl w:val="1"/>
              <w:rPr>
                <w:rFonts w:asciiTheme="minorHAnsi" w:hAnsiTheme="minorHAnsi" w:cs="Arial"/>
                <w:sz w:val="24"/>
                <w:szCs w:val="24"/>
              </w:rPr>
            </w:pPr>
            <w:r w:rsidRPr="00075175">
              <w:rPr>
                <w:rFonts w:asciiTheme="minorHAnsi" w:hAnsiTheme="minorHAnsi" w:cs="Arial"/>
                <w:sz w:val="24"/>
                <w:szCs w:val="24"/>
              </w:rPr>
              <w:lastRenderedPageBreak/>
              <w:t>Rola organu prowadzącego</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cs="Arial"/>
                <w:i/>
                <w:sz w:val="24"/>
                <w:szCs w:val="24"/>
              </w:rPr>
            </w:pPr>
            <w:r w:rsidRPr="00075175">
              <w:rPr>
                <w:rFonts w:asciiTheme="minorHAnsi" w:hAnsiTheme="minorHAnsi" w:cs="Arial"/>
                <w:i/>
                <w:sz w:val="24"/>
                <w:szCs w:val="24"/>
              </w:rPr>
              <w:t>Instrukcja: Prezentacja roli organu prowadzącego w badanym obszarze: cel, zasady i formy możliwego działania wraz z ich charakterystyką oraz przedstawieniem zróżnicowanych podejść i uwarunkowań instytucjonalnych. Wynikiem tej części analizy powinna być lista zadań / funkcji, które powinny być / mogą być realizowane przez JST w tym zakresie.</w:t>
            </w:r>
          </w:p>
        </w:tc>
      </w:tr>
      <w:tr w:rsidR="001A12CF" w:rsidRPr="00075175" w:rsidTr="001A12CF">
        <w:trPr>
          <w:trHeight w:val="5102"/>
        </w:trPr>
        <w:tc>
          <w:tcPr>
            <w:tcW w:w="9634" w:type="dxa"/>
          </w:tcPr>
          <w:p w:rsidR="001A12CF" w:rsidRPr="00075175" w:rsidRDefault="001A12CF" w:rsidP="001A12CF">
            <w:pPr>
              <w:pStyle w:val="Akapitzlist"/>
              <w:spacing w:after="120" w:line="288" w:lineRule="auto"/>
              <w:ind w:left="0"/>
              <w:rPr>
                <w:rFonts w:asciiTheme="minorHAnsi" w:hAnsiTheme="minorHAnsi" w:cs="Arial"/>
                <w:sz w:val="24"/>
                <w:szCs w:val="24"/>
              </w:rPr>
            </w:pPr>
            <w:r w:rsidRPr="00075175">
              <w:rPr>
                <w:rFonts w:asciiTheme="minorHAnsi" w:hAnsiTheme="minorHAnsi" w:cs="Arial"/>
                <w:sz w:val="24"/>
                <w:szCs w:val="24"/>
              </w:rPr>
              <w:t>Na temat planowania budżetowego w jednostkach systemu oświaty powstało wiele opracowań. Niniejsze opracowanie powinno podjąć próbę usystematyzowania i podsumowania problemu – na ile jednostka samorządu terytorialnego, wykonując jedno z najbardziej kosztownych zadań, jakim jest finansowanie oświaty samorządowej, świadomie podejmuje decyzje i wiąże wysokość nakładów na edukację z oczekiwanymi efektami nauczania.</w:t>
            </w:r>
          </w:p>
          <w:p w:rsidR="001A12CF" w:rsidRPr="00075175" w:rsidRDefault="001A12CF" w:rsidP="001A12CF">
            <w:pPr>
              <w:pStyle w:val="Akapitzlist"/>
              <w:spacing w:after="120" w:line="288" w:lineRule="auto"/>
              <w:ind w:left="0"/>
              <w:rPr>
                <w:rFonts w:asciiTheme="minorHAnsi" w:hAnsiTheme="minorHAnsi" w:cs="Arial"/>
                <w:sz w:val="24"/>
                <w:szCs w:val="24"/>
              </w:rPr>
            </w:pPr>
            <w:r w:rsidRPr="00075175">
              <w:rPr>
                <w:rFonts w:asciiTheme="minorHAnsi" w:hAnsiTheme="minorHAnsi" w:cs="Arial"/>
                <w:sz w:val="24"/>
                <w:szCs w:val="24"/>
              </w:rPr>
              <w:t>Wykonawca powinien omówić uwarunkowania decyzji o dofinansowaniu zadań oświatowych kwotą wyższą, niż wynikałaby z wielkości części oświatowej subwencji ogólnej (wielkość  środków własnych w stosunku do wydatków ogółem ponoszonych w działach 801 i 854) oraz opisać kluczowe zadania / funkcje JST w obszarze budżetowania wydatków oświatowych:</w:t>
            </w:r>
          </w:p>
          <w:p w:rsidR="001A12CF" w:rsidRPr="00075175" w:rsidRDefault="001A12CF" w:rsidP="001A12CF">
            <w:pPr>
              <w:pStyle w:val="Akapitzlist"/>
              <w:numPr>
                <w:ilvl w:val="0"/>
                <w:numId w:val="21"/>
              </w:numPr>
              <w:spacing w:after="120" w:line="288" w:lineRule="auto"/>
              <w:ind w:left="357" w:hanging="357"/>
              <w:rPr>
                <w:rFonts w:asciiTheme="minorHAnsi" w:hAnsiTheme="minorHAnsi" w:cs="Arial"/>
                <w:sz w:val="24"/>
                <w:szCs w:val="24"/>
              </w:rPr>
            </w:pPr>
            <w:r w:rsidRPr="00075175">
              <w:rPr>
                <w:rFonts w:asciiTheme="minorHAnsi" w:hAnsiTheme="minorHAnsi" w:cs="Arial"/>
                <w:sz w:val="24"/>
                <w:szCs w:val="24"/>
              </w:rPr>
              <w:t>Tworzenie planów finansowych w sposób uwzględniający realne potrzeby szkół i placówek oświatowych w tym: (a) Stosowanie różnych odmian „bonu finansowego”, wiążącego wielkość środków finansowych przeznaczonych na utrzymanie szkół z liczbą uczniów lub skalą inaczej zdefiniowanych zadań; (b) Podejście „historyczne” – opierające plan finansowy na kolejny rok na wykonaniu planu finansowego w roku bieżącym (przewidywanym) i w latach poprzednich. Należy przedstawić zalety i wady obu metod na podstawie znanych doświadczeń;</w:t>
            </w:r>
          </w:p>
          <w:p w:rsidR="001A12CF" w:rsidRPr="00075175" w:rsidRDefault="001A12CF" w:rsidP="001A12CF">
            <w:pPr>
              <w:pStyle w:val="Akapitzlist"/>
              <w:numPr>
                <w:ilvl w:val="0"/>
                <w:numId w:val="21"/>
              </w:numPr>
              <w:spacing w:after="120" w:line="288" w:lineRule="auto"/>
              <w:ind w:left="357" w:hanging="357"/>
              <w:rPr>
                <w:rFonts w:asciiTheme="minorHAnsi" w:hAnsiTheme="minorHAnsi" w:cs="Arial"/>
                <w:sz w:val="24"/>
                <w:szCs w:val="24"/>
              </w:rPr>
            </w:pPr>
            <w:r w:rsidRPr="00075175">
              <w:rPr>
                <w:rFonts w:asciiTheme="minorHAnsi" w:hAnsiTheme="minorHAnsi" w:cs="Arial"/>
                <w:sz w:val="24"/>
                <w:szCs w:val="24"/>
              </w:rPr>
              <w:t>Podejmowanie decyzji o przeznaczeniu części środków na wydatki majątkowe. Zasady priorytetyzowania projektów inwestycyjnych; uwzględniane czynniki; organizacja procesu decyzyjnego i rola, jaką pełnią w nim interesariusze lokalnego systemu oświaty (w tym dyrektorzy szkół / placówek);</w:t>
            </w:r>
          </w:p>
          <w:p w:rsidR="001A12CF" w:rsidRPr="00075175" w:rsidRDefault="001A12CF" w:rsidP="001A12CF">
            <w:pPr>
              <w:pStyle w:val="Akapitzlist"/>
              <w:numPr>
                <w:ilvl w:val="0"/>
                <w:numId w:val="21"/>
              </w:numPr>
              <w:spacing w:after="120" w:line="288" w:lineRule="auto"/>
              <w:ind w:left="357" w:hanging="357"/>
              <w:rPr>
                <w:rFonts w:asciiTheme="minorHAnsi" w:hAnsiTheme="minorHAnsi" w:cs="Arial"/>
                <w:sz w:val="24"/>
                <w:szCs w:val="24"/>
              </w:rPr>
            </w:pPr>
            <w:r w:rsidRPr="00075175">
              <w:rPr>
                <w:rFonts w:asciiTheme="minorHAnsi" w:hAnsiTheme="minorHAnsi" w:cs="Arial"/>
                <w:sz w:val="24"/>
                <w:szCs w:val="24"/>
              </w:rPr>
              <w:t>Budżetowanie wydatków w układzie zadaniowym – warunki wprowadzenia budżetu zadaniowego; wnioski z dotychczasowych doświadczeń;</w:t>
            </w:r>
          </w:p>
          <w:p w:rsidR="001A12CF" w:rsidRPr="00075175" w:rsidRDefault="001A12CF" w:rsidP="001A12CF">
            <w:pPr>
              <w:pStyle w:val="Akapitzlist"/>
              <w:numPr>
                <w:ilvl w:val="0"/>
                <w:numId w:val="21"/>
              </w:numPr>
              <w:spacing w:after="120" w:line="288" w:lineRule="auto"/>
              <w:ind w:left="357" w:hanging="357"/>
              <w:rPr>
                <w:rFonts w:asciiTheme="minorHAnsi" w:hAnsiTheme="minorHAnsi" w:cs="Arial"/>
                <w:sz w:val="24"/>
                <w:szCs w:val="24"/>
              </w:rPr>
            </w:pPr>
            <w:r w:rsidRPr="00075175">
              <w:rPr>
                <w:rFonts w:asciiTheme="minorHAnsi" w:hAnsiTheme="minorHAnsi" w:cs="Arial"/>
                <w:sz w:val="24"/>
                <w:szCs w:val="24"/>
              </w:rPr>
              <w:t>Realizowanie obowiązku zapewnienia średnich wynagrodzeń nauczycieli na poszczególnych stopniach awansu zawodowego, z uwzględnieniem ostatnich zmian prawnych - jednorazowy dodatek uzupełniający (jdu) i inne podejścia.</w:t>
            </w:r>
          </w:p>
          <w:p w:rsidR="001A12CF" w:rsidRPr="00075175" w:rsidRDefault="001A12CF" w:rsidP="001A12CF">
            <w:pPr>
              <w:pStyle w:val="Akapitzlist"/>
              <w:numPr>
                <w:ilvl w:val="0"/>
                <w:numId w:val="21"/>
              </w:numPr>
              <w:spacing w:after="120" w:line="288" w:lineRule="auto"/>
              <w:ind w:left="357" w:hanging="357"/>
              <w:rPr>
                <w:rFonts w:asciiTheme="minorHAnsi" w:hAnsiTheme="minorHAnsi" w:cs="Arial"/>
                <w:sz w:val="24"/>
                <w:szCs w:val="24"/>
              </w:rPr>
            </w:pPr>
            <w:r w:rsidRPr="00075175">
              <w:rPr>
                <w:rFonts w:asciiTheme="minorHAnsi" w:hAnsiTheme="minorHAnsi" w:cs="Arial"/>
                <w:sz w:val="24"/>
                <w:szCs w:val="24"/>
              </w:rPr>
              <w:t xml:space="preserve">Finansowe motywowanie nauczycieli i dyrektorów – źródła finansowania dodatków (decyzje dot. zatrudnienia nauczycieli a wysokość środków na wypłatę wynagrodzeń za pracę ponad wymiar etatu); powiązanie ich wysokości i zasad wypłacania z efektami edukacyjnymi. </w:t>
            </w:r>
          </w:p>
          <w:p w:rsidR="001A12CF" w:rsidRPr="00075175" w:rsidRDefault="001A12CF" w:rsidP="001A12CF">
            <w:pPr>
              <w:spacing w:line="288" w:lineRule="auto"/>
              <w:rPr>
                <w:rFonts w:asciiTheme="minorHAnsi" w:hAnsiTheme="minorHAnsi" w:cs="Arial"/>
                <w:sz w:val="24"/>
                <w:szCs w:val="24"/>
              </w:rPr>
            </w:pPr>
            <w:r w:rsidRPr="00075175">
              <w:rPr>
                <w:rFonts w:asciiTheme="minorHAnsi" w:hAnsiTheme="minorHAnsi" w:cs="Arial"/>
                <w:sz w:val="24"/>
                <w:szCs w:val="24"/>
              </w:rPr>
              <w:t>Ocena wpływu stosowania nowoczesnych metod zarządzanie finansami oświaty na efekty pracy szkół – na podstawie znanych przykładów dobrej praktyki.</w:t>
            </w:r>
          </w:p>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highlight w:val="yellow"/>
              </w:rPr>
              <w:lastRenderedPageBreak/>
              <w:t>[Powyższy tekst sygnalizuje tylko przykładowe kierunki analizy - do weryfikacji / uzupełnienia]</w:t>
            </w:r>
          </w:p>
          <w:p w:rsidR="001A12CF" w:rsidRPr="00075175" w:rsidRDefault="001A12CF" w:rsidP="001A12CF">
            <w:pPr>
              <w:rPr>
                <w:rFonts w:asciiTheme="minorHAnsi" w:hAnsiTheme="minorHAnsi" w:cs="Arial"/>
                <w:sz w:val="24"/>
                <w:szCs w:val="24"/>
              </w:rPr>
            </w:pPr>
          </w:p>
          <w:p w:rsidR="001A12CF" w:rsidRPr="00075175" w:rsidRDefault="001A12CF" w:rsidP="001A12CF">
            <w:pPr>
              <w:rPr>
                <w:rFonts w:asciiTheme="minorHAnsi" w:hAnsiTheme="minorHAnsi" w:cs="Arial"/>
                <w:sz w:val="24"/>
                <w:szCs w:val="24"/>
              </w:rPr>
            </w:pPr>
          </w:p>
        </w:tc>
      </w:tr>
      <w:tr w:rsidR="001A12CF" w:rsidRPr="00075175" w:rsidTr="001A12CF">
        <w:tc>
          <w:tcPr>
            <w:tcW w:w="9634" w:type="dxa"/>
          </w:tcPr>
          <w:p w:rsidR="001A12CF" w:rsidRPr="00075175" w:rsidRDefault="001A12CF" w:rsidP="00225D72">
            <w:pPr>
              <w:pStyle w:val="Nagwek2"/>
              <w:numPr>
                <w:ilvl w:val="0"/>
                <w:numId w:val="34"/>
              </w:numPr>
              <w:outlineLvl w:val="1"/>
              <w:rPr>
                <w:rFonts w:asciiTheme="minorHAnsi" w:hAnsiTheme="minorHAnsi" w:cs="Arial"/>
                <w:sz w:val="24"/>
                <w:szCs w:val="24"/>
              </w:rPr>
            </w:pPr>
            <w:r w:rsidRPr="00075175">
              <w:rPr>
                <w:rFonts w:asciiTheme="minorHAnsi" w:hAnsiTheme="minorHAnsi" w:cs="Arial"/>
                <w:sz w:val="24"/>
                <w:szCs w:val="24"/>
              </w:rPr>
              <w:lastRenderedPageBreak/>
              <w:t>Narzędzia i rozwiązania zarządcze</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cs="Arial"/>
                <w:i/>
                <w:sz w:val="24"/>
                <w:szCs w:val="24"/>
              </w:rPr>
            </w:pPr>
            <w:r w:rsidRPr="00075175">
              <w:rPr>
                <w:rFonts w:asciiTheme="minorHAnsi" w:hAnsiTheme="minorHAnsi" w:cs="Arial"/>
                <w:i/>
                <w:sz w:val="24"/>
                <w:szCs w:val="24"/>
              </w:rPr>
              <w:t>Instrukcja: Wykonawca powinien systematycznie opisać znane mu narzędzia i rozwiązania zarządcze wykorzystywane w celu realizacji kluczowych zadań i funkcji organu prowadzącego w danym obszarze. Oczekujemy, że każdej z funkcji wspomnianych w pkt. 3 zostaną przypisane co najmniej 2 różne rozwiązania zarządcze.</w:t>
            </w:r>
          </w:p>
        </w:tc>
      </w:tr>
      <w:tr w:rsidR="001A12CF" w:rsidRPr="00075175" w:rsidTr="001A12CF">
        <w:trPr>
          <w:trHeight w:val="28"/>
        </w:trPr>
        <w:tc>
          <w:tcPr>
            <w:tcW w:w="9634" w:type="dxa"/>
          </w:tcPr>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highlight w:val="yellow"/>
              </w:rPr>
              <w:t>[do uzupełnienia]</w:t>
            </w:r>
          </w:p>
          <w:p w:rsidR="001A12CF" w:rsidRPr="00075175" w:rsidRDefault="001A12CF" w:rsidP="001A12CF">
            <w:pPr>
              <w:rPr>
                <w:rFonts w:asciiTheme="minorHAnsi" w:hAnsiTheme="minorHAnsi" w:cs="Arial"/>
                <w:sz w:val="24"/>
                <w:szCs w:val="24"/>
              </w:rPr>
            </w:pPr>
          </w:p>
        </w:tc>
      </w:tr>
      <w:tr w:rsidR="001A12CF" w:rsidRPr="00075175" w:rsidTr="001A12CF">
        <w:tc>
          <w:tcPr>
            <w:tcW w:w="9634" w:type="dxa"/>
          </w:tcPr>
          <w:p w:rsidR="001A12CF" w:rsidRPr="00075175" w:rsidRDefault="001A12CF" w:rsidP="00225D72">
            <w:pPr>
              <w:pStyle w:val="Nagwek2"/>
              <w:numPr>
                <w:ilvl w:val="0"/>
                <w:numId w:val="34"/>
              </w:numPr>
              <w:outlineLvl w:val="1"/>
              <w:rPr>
                <w:rFonts w:asciiTheme="minorHAnsi" w:hAnsiTheme="minorHAnsi" w:cs="Arial"/>
                <w:sz w:val="24"/>
                <w:szCs w:val="24"/>
              </w:rPr>
            </w:pPr>
            <w:r w:rsidRPr="00075175">
              <w:rPr>
                <w:rFonts w:asciiTheme="minorHAnsi" w:hAnsiTheme="minorHAnsi" w:cs="Arial"/>
                <w:sz w:val="24"/>
                <w:szCs w:val="24"/>
              </w:rPr>
              <w:t>Dobre praktyki</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cs="Arial"/>
                <w:i/>
                <w:sz w:val="24"/>
                <w:szCs w:val="24"/>
              </w:rPr>
            </w:pPr>
            <w:r w:rsidRPr="00075175">
              <w:rPr>
                <w:rFonts w:asciiTheme="minorHAnsi" w:hAnsiTheme="minorHAnsi" w:cs="Arial"/>
                <w:i/>
                <w:sz w:val="24"/>
                <w:szCs w:val="24"/>
              </w:rPr>
              <w:t>Instrukcja: - Nie zakładamy tworzenia nowych opisów dobrej praktyki. Wykonawca powinien natomiast dokonać przeglądu i analizy dostępnych opracowań oraz dobrać przykłady prezentujące wzorcowe podejście samorządów do zarządzania oświatą w badanym obszarze*. Wybrane praktyki powinny zostać opatrzone komentarzem, wyjaśniającym: Jakiego zadania dotyczą? W jakiej mierze są ilustracją omówionych wcześniej narzędzi? Kto i dlaczego powinien się zapoznać z opisem? Na co ma zwrócić uwagę?</w:t>
            </w:r>
          </w:p>
          <w:p w:rsidR="001A12CF" w:rsidRPr="00075175" w:rsidRDefault="001A12CF" w:rsidP="001A12CF">
            <w:pPr>
              <w:rPr>
                <w:rFonts w:asciiTheme="minorHAnsi" w:hAnsiTheme="minorHAnsi" w:cs="Arial"/>
                <w:i/>
                <w:sz w:val="24"/>
                <w:szCs w:val="24"/>
              </w:rPr>
            </w:pPr>
            <w:r w:rsidRPr="00075175">
              <w:rPr>
                <w:rFonts w:asciiTheme="minorHAnsi" w:hAnsiTheme="minorHAnsi" w:cs="Arial"/>
                <w:i/>
                <w:sz w:val="24"/>
                <w:szCs w:val="24"/>
              </w:rPr>
              <w:t>Oczekujemy, że każde z narzędzi zarządczych omawianych w ramach pkt 4 zostanie zilustrowane odniesieniem do co najmniej dwóch przykładów jego skutecznego zastosowania w samorządach różnego typu. Jeśli dane rozwiązanie nie doczekało się jeszcze pełnej adaptacji w polskich warunkach, możliwe jest podanie wdrożeń częściowych i wzorców zagranicznych.</w:t>
            </w:r>
          </w:p>
          <w:p w:rsidR="001A12CF" w:rsidRPr="00075175" w:rsidRDefault="001A12CF" w:rsidP="001A12CF">
            <w:pPr>
              <w:rPr>
                <w:rFonts w:asciiTheme="minorHAnsi" w:hAnsiTheme="minorHAnsi" w:cs="Arial"/>
                <w:i/>
                <w:sz w:val="24"/>
                <w:szCs w:val="24"/>
              </w:rPr>
            </w:pPr>
            <w:r w:rsidRPr="00075175">
              <w:rPr>
                <w:rFonts w:asciiTheme="minorHAnsi" w:hAnsiTheme="minorHAnsi" w:cs="Arial"/>
                <w:i/>
                <w:sz w:val="24"/>
                <w:szCs w:val="24"/>
              </w:rPr>
              <w:t>* Wykonawca może również wskazać znane mu ośrodki, gdzie wdrażane są innowacyjne rozwiązania, nawet jeśli nie doczekały się one jeszcze publikacji w formie opisu dobrej praktyki. W takim przypadku oczekujemy podania namiarów na osobę kontaktową, która może dostarczyć szczegółowych informacji na ten temat.</w:t>
            </w:r>
          </w:p>
        </w:tc>
      </w:tr>
      <w:tr w:rsidR="001A12CF" w:rsidRPr="00075175" w:rsidTr="001A12CF">
        <w:trPr>
          <w:trHeight w:val="28"/>
        </w:trPr>
        <w:tc>
          <w:tcPr>
            <w:tcW w:w="9634" w:type="dxa"/>
          </w:tcPr>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highlight w:val="yellow"/>
              </w:rPr>
              <w:lastRenderedPageBreak/>
              <w:t>[do uzupełnienia]</w:t>
            </w:r>
          </w:p>
          <w:p w:rsidR="001A12CF" w:rsidRPr="00075175" w:rsidRDefault="001A12CF" w:rsidP="001A12CF">
            <w:pPr>
              <w:rPr>
                <w:rFonts w:asciiTheme="minorHAnsi" w:hAnsiTheme="minorHAnsi" w:cs="Arial"/>
                <w:sz w:val="24"/>
                <w:szCs w:val="24"/>
              </w:rPr>
            </w:pPr>
          </w:p>
          <w:p w:rsidR="001A12CF" w:rsidRPr="00075175" w:rsidRDefault="001A12CF" w:rsidP="001A12CF">
            <w:pPr>
              <w:rPr>
                <w:rFonts w:asciiTheme="minorHAnsi" w:hAnsiTheme="minorHAnsi" w:cs="Arial"/>
                <w:sz w:val="24"/>
                <w:szCs w:val="24"/>
              </w:rPr>
            </w:pPr>
          </w:p>
        </w:tc>
      </w:tr>
      <w:tr w:rsidR="001A12CF" w:rsidRPr="00075175" w:rsidTr="001A12CF">
        <w:tc>
          <w:tcPr>
            <w:tcW w:w="9634" w:type="dxa"/>
          </w:tcPr>
          <w:p w:rsidR="001A12CF" w:rsidRPr="00075175" w:rsidRDefault="001A12CF" w:rsidP="00225D72">
            <w:pPr>
              <w:pStyle w:val="Nagwek2"/>
              <w:numPr>
                <w:ilvl w:val="0"/>
                <w:numId w:val="34"/>
              </w:numPr>
              <w:outlineLvl w:val="1"/>
              <w:rPr>
                <w:rFonts w:asciiTheme="minorHAnsi" w:hAnsiTheme="minorHAnsi" w:cs="Arial"/>
                <w:sz w:val="24"/>
                <w:szCs w:val="24"/>
              </w:rPr>
            </w:pPr>
            <w:r w:rsidRPr="00075175">
              <w:rPr>
                <w:rFonts w:asciiTheme="minorHAnsi" w:hAnsiTheme="minorHAnsi" w:cs="Arial"/>
                <w:sz w:val="24"/>
                <w:szCs w:val="24"/>
              </w:rPr>
              <w:t>Analiza kluczowych problemów</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cs="Arial"/>
                <w:i/>
                <w:sz w:val="24"/>
                <w:szCs w:val="24"/>
              </w:rPr>
            </w:pPr>
            <w:r w:rsidRPr="00075175">
              <w:rPr>
                <w:rFonts w:asciiTheme="minorHAnsi" w:hAnsiTheme="minorHAnsi" w:cs="Arial"/>
                <w:i/>
                <w:sz w:val="24"/>
                <w:szCs w:val="24"/>
              </w:rPr>
              <w:t>Instrukcja: Wykonawca powinien wskazać kluczowe bariery utrudniające prawidłową realizację funkcji i zadań wymienionych pkt 3. (np. Ograniczenia mogą wynikać z uwarunkowań prawnych i systemowych, wiązać się z postawami lub kompetencjami kadry zarządzającej, brakiem odpowiednich zasobów, uwarunkowaniami instytucjonalnymi, itp.) Oczekuje się, że Wykonawca oceni względną wagę danego problemu, zidentyfikuje jego źródła oraz zaproponuje kierunki działań, które należałoby podjąć w celu jego rozwiązania.</w:t>
            </w:r>
          </w:p>
        </w:tc>
      </w:tr>
      <w:tr w:rsidR="001A12CF" w:rsidRPr="00075175" w:rsidTr="001A12CF">
        <w:trPr>
          <w:trHeight w:val="28"/>
        </w:trPr>
        <w:tc>
          <w:tcPr>
            <w:tcW w:w="9634" w:type="dxa"/>
          </w:tcPr>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highlight w:val="yellow"/>
              </w:rPr>
              <w:t>[do uzupełnienia]</w:t>
            </w:r>
          </w:p>
          <w:p w:rsidR="001A12CF" w:rsidRPr="00075175" w:rsidRDefault="001A12CF" w:rsidP="001A12CF">
            <w:pPr>
              <w:rPr>
                <w:rFonts w:asciiTheme="minorHAnsi" w:hAnsiTheme="minorHAnsi" w:cs="Arial"/>
                <w:sz w:val="24"/>
                <w:szCs w:val="24"/>
              </w:rPr>
            </w:pPr>
          </w:p>
          <w:p w:rsidR="001A12CF" w:rsidRPr="00075175" w:rsidRDefault="001A12CF" w:rsidP="001A12CF">
            <w:pPr>
              <w:rPr>
                <w:rFonts w:asciiTheme="minorHAnsi" w:hAnsiTheme="minorHAnsi" w:cs="Arial"/>
                <w:sz w:val="24"/>
                <w:szCs w:val="24"/>
              </w:rPr>
            </w:pPr>
          </w:p>
        </w:tc>
      </w:tr>
      <w:tr w:rsidR="001A12CF" w:rsidRPr="00075175" w:rsidTr="001A12CF">
        <w:tc>
          <w:tcPr>
            <w:tcW w:w="9634" w:type="dxa"/>
          </w:tcPr>
          <w:p w:rsidR="001A12CF" w:rsidRPr="00075175" w:rsidRDefault="001A12CF" w:rsidP="00225D72">
            <w:pPr>
              <w:pStyle w:val="Nagwek2"/>
              <w:numPr>
                <w:ilvl w:val="0"/>
                <w:numId w:val="34"/>
              </w:numPr>
              <w:outlineLvl w:val="1"/>
              <w:rPr>
                <w:rFonts w:asciiTheme="minorHAnsi" w:hAnsiTheme="minorHAnsi" w:cs="Arial"/>
                <w:sz w:val="24"/>
                <w:szCs w:val="24"/>
              </w:rPr>
            </w:pPr>
            <w:r w:rsidRPr="00075175">
              <w:rPr>
                <w:rFonts w:asciiTheme="minorHAnsi" w:hAnsiTheme="minorHAnsi" w:cs="Arial"/>
                <w:sz w:val="24"/>
                <w:szCs w:val="24"/>
              </w:rPr>
              <w:t>Trendy i tendencje w rozwoju obszaru</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cs="Arial"/>
                <w:i/>
                <w:sz w:val="24"/>
                <w:szCs w:val="24"/>
              </w:rPr>
            </w:pPr>
            <w:r w:rsidRPr="00075175">
              <w:rPr>
                <w:rFonts w:asciiTheme="minorHAnsi" w:hAnsiTheme="minorHAnsi" w:cs="Arial"/>
                <w:i/>
                <w:sz w:val="24"/>
                <w:szCs w:val="24"/>
              </w:rPr>
              <w:t>Instrukcja: W oparciu o przegląd dostępnej literatury Wykonawca zaprezentuje krótko najciekawsze zjawiska, tendencje i prawidłowości obserwowane w Polsce i za granicą w zakresie zarządzania oświatą w analizowanym obszarze. Porówna je między sobą i z dominującą w kraju praktyką. Oczekuje się, że przegląd zostanie uzupełniony bibliografią wykorzystanych publikacji oraz linkami do witryn ośrodków – aktywnych w zakresie wspomnianych w tekście innowacji i prac koncepcyjnych.</w:t>
            </w:r>
          </w:p>
        </w:tc>
      </w:tr>
      <w:tr w:rsidR="001A12CF" w:rsidRPr="00075175" w:rsidTr="001A12CF">
        <w:trPr>
          <w:trHeight w:val="268"/>
        </w:trPr>
        <w:tc>
          <w:tcPr>
            <w:tcW w:w="9634" w:type="dxa"/>
          </w:tcPr>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highlight w:val="yellow"/>
              </w:rPr>
              <w:t>[do uzupełnienia]</w:t>
            </w:r>
          </w:p>
          <w:p w:rsidR="001A12CF" w:rsidRPr="00075175" w:rsidRDefault="001A12CF" w:rsidP="001A12CF">
            <w:pPr>
              <w:rPr>
                <w:rFonts w:asciiTheme="minorHAnsi" w:hAnsiTheme="minorHAnsi" w:cs="Arial"/>
                <w:sz w:val="24"/>
                <w:szCs w:val="24"/>
              </w:rPr>
            </w:pPr>
          </w:p>
          <w:p w:rsidR="001A12CF" w:rsidRPr="00075175" w:rsidRDefault="001A12CF" w:rsidP="001A12CF">
            <w:pPr>
              <w:rPr>
                <w:rFonts w:asciiTheme="minorHAnsi" w:hAnsiTheme="minorHAnsi" w:cs="Arial"/>
                <w:sz w:val="24"/>
                <w:szCs w:val="24"/>
              </w:rPr>
            </w:pPr>
          </w:p>
        </w:tc>
      </w:tr>
    </w:tbl>
    <w:p w:rsidR="001A12CF" w:rsidRPr="00075175" w:rsidRDefault="001A12CF">
      <w:pPr>
        <w:spacing w:after="200" w:line="276" w:lineRule="auto"/>
        <w:jc w:val="left"/>
        <w:rPr>
          <w:rFonts w:asciiTheme="minorHAnsi" w:hAnsiTheme="minorHAnsi"/>
          <w:sz w:val="24"/>
          <w:szCs w:val="24"/>
        </w:rPr>
      </w:pPr>
    </w:p>
    <w:p w:rsidR="001A12CF" w:rsidRPr="00075175" w:rsidRDefault="001A12CF">
      <w:pPr>
        <w:spacing w:after="200" w:line="276" w:lineRule="auto"/>
        <w:jc w:val="left"/>
        <w:rPr>
          <w:rFonts w:asciiTheme="minorHAnsi" w:hAnsiTheme="minorHAnsi"/>
          <w:sz w:val="24"/>
          <w:szCs w:val="24"/>
        </w:rPr>
      </w:pPr>
      <w:r w:rsidRPr="00075175">
        <w:rPr>
          <w:rFonts w:asciiTheme="minorHAnsi" w:hAnsiTheme="minorHAnsi"/>
          <w:sz w:val="24"/>
          <w:szCs w:val="24"/>
        </w:rPr>
        <w:br w:type="page"/>
      </w:r>
    </w:p>
    <w:tbl>
      <w:tblPr>
        <w:tblStyle w:val="Tabela-Siatka"/>
        <w:tblW w:w="9634" w:type="dxa"/>
        <w:tblLayout w:type="fixed"/>
        <w:tblCellMar>
          <w:top w:w="57" w:type="dxa"/>
          <w:left w:w="85" w:type="dxa"/>
          <w:bottom w:w="57" w:type="dxa"/>
          <w:right w:w="85" w:type="dxa"/>
        </w:tblCellMar>
        <w:tblLook w:val="04A0"/>
      </w:tblPr>
      <w:tblGrid>
        <w:gridCol w:w="9634"/>
      </w:tblGrid>
      <w:tr w:rsidR="001A12CF" w:rsidRPr="00075175" w:rsidTr="001A12CF">
        <w:tc>
          <w:tcPr>
            <w:tcW w:w="9634" w:type="dxa"/>
          </w:tcPr>
          <w:p w:rsidR="00C60611" w:rsidRPr="00075175" w:rsidRDefault="00C60611" w:rsidP="00C60611">
            <w:pPr>
              <w:rPr>
                <w:rFonts w:asciiTheme="minorHAnsi" w:hAnsiTheme="minorHAnsi"/>
                <w:b/>
                <w:sz w:val="24"/>
                <w:szCs w:val="24"/>
              </w:rPr>
            </w:pPr>
            <w:r w:rsidRPr="00075175">
              <w:rPr>
                <w:rFonts w:asciiTheme="minorHAnsi" w:hAnsiTheme="minorHAnsi"/>
                <w:b/>
                <w:sz w:val="24"/>
                <w:szCs w:val="24"/>
              </w:rPr>
              <w:lastRenderedPageBreak/>
              <w:t>Wsparcie kadry jednostek samorządu terytorialnego w zarządzaniu oświatą ukierunkowanym na rozwój szkół i kompetencji kluczowych uczniów  (POWR.02.10.00-IP.02-00-003/15)</w:t>
            </w:r>
          </w:p>
          <w:p w:rsidR="00C60611" w:rsidRPr="00075175" w:rsidRDefault="00C60611" w:rsidP="00C60611">
            <w:pPr>
              <w:pStyle w:val="Tytu"/>
              <w:rPr>
                <w:rFonts w:asciiTheme="minorHAnsi" w:hAnsiTheme="minorHAnsi"/>
                <w:sz w:val="24"/>
                <w:szCs w:val="24"/>
              </w:rPr>
            </w:pPr>
            <w:r w:rsidRPr="00075175">
              <w:rPr>
                <w:rFonts w:asciiTheme="minorHAnsi" w:hAnsiTheme="minorHAnsi"/>
                <w:sz w:val="24"/>
                <w:szCs w:val="24"/>
              </w:rPr>
              <w:t xml:space="preserve">Strategiczny przegląd sytuacji w obszarze 11: </w:t>
            </w:r>
          </w:p>
          <w:p w:rsidR="001A12CF" w:rsidRPr="00075175" w:rsidRDefault="001A12CF" w:rsidP="00C60611">
            <w:pPr>
              <w:pStyle w:val="Nagwek1"/>
              <w:jc w:val="left"/>
              <w:outlineLvl w:val="0"/>
              <w:rPr>
                <w:rFonts w:asciiTheme="minorHAnsi" w:hAnsiTheme="minorHAnsi"/>
                <w:szCs w:val="24"/>
              </w:rPr>
            </w:pPr>
            <w:bookmarkStart w:id="4" w:name="_Toc494887098"/>
            <w:r w:rsidRPr="00075175">
              <w:rPr>
                <w:rFonts w:asciiTheme="minorHAnsi" w:hAnsiTheme="minorHAnsi"/>
                <w:szCs w:val="24"/>
              </w:rPr>
              <w:t>Udział mieszkańców i partnerów instytucjonalnych w procesie planowania, realizacji i oceny usług oświatowych</w:t>
            </w:r>
            <w:bookmarkEnd w:id="4"/>
          </w:p>
        </w:tc>
      </w:tr>
      <w:tr w:rsidR="001A12CF" w:rsidRPr="00075175" w:rsidTr="001A12CF">
        <w:tc>
          <w:tcPr>
            <w:tcW w:w="9634" w:type="dxa"/>
          </w:tcPr>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5"/>
              </w:numPr>
              <w:outlineLvl w:val="1"/>
              <w:rPr>
                <w:rFonts w:asciiTheme="minorHAnsi" w:hAnsiTheme="minorHAnsi"/>
                <w:sz w:val="24"/>
                <w:szCs w:val="24"/>
              </w:rPr>
            </w:pPr>
            <w:r w:rsidRPr="00075175">
              <w:rPr>
                <w:rFonts w:asciiTheme="minorHAnsi" w:hAnsiTheme="minorHAnsi"/>
                <w:sz w:val="24"/>
                <w:szCs w:val="24"/>
              </w:rPr>
              <w:t>Podstawa prawna działania samorządu</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Omówienie aktualnej podstawy prawnej działania samorządu w analizowanym obszarze, w tym aktualnych regulacji i podejmowanych inicjatyw legislacyjnych (jeśli dotyczy). Jeśli w okresie realizacji zlecenia prowadzone będą prace parlamentarne nad zmianami obowiązującego prawa, ocena ich wpływu na sposób realizacji przez JST zadań oświatowych.</w:t>
            </w:r>
          </w:p>
        </w:tc>
      </w:tr>
      <w:tr w:rsidR="001A12CF" w:rsidRPr="00075175" w:rsidTr="001A12CF">
        <w:trPr>
          <w:trHeight w:val="217"/>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rPr>
              <w:t>Mieszkańcy oraz lokalne instytucje mogą być partnerami szkoły i brać udział w planowaniu lokalnej polityki oświatowej, jej realizacji i jej ocenie. Ustawa Prawo oświatowe formułuje w tym zakresie kilka możliwości, a nawet obowiązków dla organu prowadzącego szkołę.</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Na terenie szkół mogą funkcjonować (art. 86) stowarzyszenia i inne organizacje, a w szczególności organizacje harcerskie, których celem statutowym jest działalność wychowawcza albo rozszerzanie i wzbogacanie form działalności dydaktycznej, wychowawczej, opiekuńczej i innowacyjnej szkoły lub placówki.</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Ustawa (art. 3) wskazuje również na organizacje wspierające system oświaty. Mogą nimi być organizacje pozarządowe, w tym harcerskie, osoby prawne prowadzące statutową działalność w zakresie oświaty i wychowania, a także jednostki organizacyjne Państwowej Straży Pożarnej oraz jednostki innych służb. Organy prowadzące szkoły zostały przez ustawodawcę zobligowane do współdziałania z tymi organizacjami i instytucjami w wykonywaniu zadań oświatowych, w tym prowadzenia zajęć edukacyjnych z zakresu podnoszenia bezpieczeństwa uczniów.</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Prawo oświatowe (rozdz. 4) wymienia także i opisuje społeczne organy w systemie oświaty. Przepisy dają organowi stanowiącemu JST możliwość powołania rady oświatowej. Do jej zadań (art. 78) należy badanie lokalnych potrzeb oświatowych i przygotowywanie projektów ich zaspokajania oraz szeroki zakres opiniowania (budżetu JST w części dotyczącej wydatków na oświatę; projektów sieci publicznych szkół i placówek; projektów aktów prawa miejscowego wydawanych w sprawach oświaty), a także wyrażanie opinii i wniosków w innych sprawach dotyczących oświaty.</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Dla lokalnego systemu edukacji ważna jest współpraca JST z kuratorem oświaty. Sprawuje on nadzór pedagogiczny. Art. 51 ust. 1 pkt 5 Prawa oświatowego wskazuje wprost, że kurator realizuje politykę oświatową państwa, a także współdziała z organami JST w tworzeniu i realizowaniu odpowiednio regionalnej i lokalnej polityki oświatowej, zgodnych z polityką oświatową państwa.</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 xml:space="preserve">Jednocześnie obok instytucji i podmiotów explicite wymienionych w treści ustawy, ze względu na otwarty charakter jej zapisów, organy prowadzące oraz dyrekcje szkół mogą współpracować w procesie planowania i realizacji celów oraz oceny ich efektów z innymi podmiotami. Wśród nich </w:t>
            </w:r>
            <w:r w:rsidRPr="00075175">
              <w:rPr>
                <w:rFonts w:asciiTheme="minorHAnsi" w:hAnsiTheme="minorHAnsi"/>
                <w:sz w:val="24"/>
                <w:szCs w:val="24"/>
              </w:rPr>
              <w:lastRenderedPageBreak/>
              <w:t>mogą być przykładowo placówki oświaty niepublicznej lub lokalne organizacje pozarządowe.</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Współpraca w tym zakresie może mieć charakter pozafinansowy i wynikać ze zbieżności celów statutowych podmiotów zewnętrznych (doświadczenie wskazuje, że takie relacje są bardzo częste – jeśli tylko pracownicy organu prowadzącego i/lub dyrektorzy są na to wystarczająco otwarci), lub też może wymagać współfinansowania niektórych działań realizowanych przez organizacje pozarządowe lub nawet finansowania w postaci usług na rzecz lokalnego systemu edukacji (np. usługi eksperckie, badania opinii, itp.) których efekty mogą pomóc w realizacji bądź ocenie zdań oświatowych lub wychowawczych. Podstawą finansowania działań statutowych podmiotów pozarządowych w tym zakresie będzie ustawa o organizacjach pożytku publicznego i wolontariacie, a w odniesieniu do świadczenia usług przez podmioty z różnych sektorów będzie to Prawo zamówień publicznych. Płatnikiem są albo organy prowadzące albo dyrekcje szkół.</w:t>
            </w:r>
          </w:p>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[do weryfikacji /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5"/>
              </w:numPr>
              <w:outlineLvl w:val="1"/>
              <w:rPr>
                <w:rFonts w:asciiTheme="minorHAnsi" w:hAnsiTheme="minorHAnsi"/>
                <w:sz w:val="24"/>
                <w:szCs w:val="24"/>
              </w:rPr>
            </w:pPr>
            <w:r w:rsidRPr="00075175">
              <w:rPr>
                <w:rFonts w:asciiTheme="minorHAnsi" w:hAnsiTheme="minorHAnsi"/>
                <w:sz w:val="24"/>
                <w:szCs w:val="24"/>
              </w:rPr>
              <w:lastRenderedPageBreak/>
              <w:t>Analiza ilościowa</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Analiza ilościowa zagadnień związanych z badanym obszarem: Jakie usługi / zadania są realizowane? W jakiej ilości / jakości (parametry obiektywne)? Jakim kosztem (koszty jednostkowe)? Jaka jest ich dostępność dla mieszkańców gminy / powiatu? Zaproponowanie i omówienie wskaźników kontekstowych ważnych dla interpretacji danych ilościowych.</w:t>
            </w:r>
          </w:p>
        </w:tc>
      </w:tr>
      <w:tr w:rsidR="001A12CF" w:rsidRPr="00075175" w:rsidTr="001A12CF">
        <w:trPr>
          <w:trHeight w:val="2249"/>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rPr>
              <w:t>Wydatki JST na współpracę z organizacjami pozarządowymi w obszarze oświata i wychowanie (w relacji do liczby uczniów lub bieżących wydatków oświatowych ogółem);</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Liczba stowarzyszeń i organizacji współpracujących ze szkołami / placówkami oświatowymi  na terenie gminy / powiatu;</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Odsetek uczniów zaangażowanych w działania z zakresu wolontariatu;</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Liczba / odsetek uczniów w szkołach prowadzonych przez podmioty spoza sektora finansów publicznych.</w:t>
            </w:r>
          </w:p>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[do weryfikacji / uzupełnienia]</w:t>
            </w:r>
          </w:p>
          <w:p w:rsidR="001A12CF" w:rsidRPr="00075175" w:rsidRDefault="001A12CF" w:rsidP="001A12CF">
            <w:pPr>
              <w:rPr>
                <w:rFonts w:asciiTheme="minorHAnsi" w:hAnsiTheme="minorHAnsi"/>
                <w:sz w:val="24"/>
                <w:szCs w:val="24"/>
              </w:rPr>
            </w:pPr>
          </w:p>
        </w:tc>
      </w:tr>
      <w:tr w:rsidR="001A12CF" w:rsidRPr="00075175" w:rsidTr="001A12CF">
        <w:trPr>
          <w:trHeight w:val="584"/>
        </w:trPr>
        <w:tc>
          <w:tcPr>
            <w:tcW w:w="9634" w:type="dxa"/>
          </w:tcPr>
          <w:p w:rsidR="001A12CF" w:rsidRPr="00075175" w:rsidRDefault="001A12CF" w:rsidP="00225D72">
            <w:pPr>
              <w:pStyle w:val="Nagwek2"/>
              <w:numPr>
                <w:ilvl w:val="0"/>
                <w:numId w:val="35"/>
              </w:numPr>
              <w:outlineLvl w:val="1"/>
              <w:rPr>
                <w:rFonts w:asciiTheme="minorHAnsi" w:hAnsiTheme="minorHAnsi"/>
                <w:sz w:val="24"/>
                <w:szCs w:val="24"/>
              </w:rPr>
            </w:pPr>
            <w:r w:rsidRPr="00075175">
              <w:rPr>
                <w:rFonts w:asciiTheme="minorHAnsi" w:hAnsiTheme="minorHAnsi"/>
                <w:sz w:val="24"/>
                <w:szCs w:val="24"/>
              </w:rPr>
              <w:t>Rola organu prowadzącego</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Prezentacja roli organu prowadzącego w badanym obszarze: cel, zasady i formy możliwego działania wraz z ich charakterystyką oraz przedstawieniem zróżnicowanych podejść i uwarunkowań instytucjonalnych. Wynikiem tej części analizy powinna być lista zadań / funkcji, które powinny być / mogą być realizowane przez JST w tym zakresie.</w:t>
            </w:r>
          </w:p>
        </w:tc>
      </w:tr>
      <w:tr w:rsidR="001A12CF" w:rsidRPr="00075175" w:rsidTr="001A12CF">
        <w:trPr>
          <w:trHeight w:val="4902"/>
        </w:trPr>
        <w:tc>
          <w:tcPr>
            <w:tcW w:w="9634" w:type="dxa"/>
          </w:tcPr>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rPr>
              <w:lastRenderedPageBreak/>
              <w:t xml:space="preserve">W celu włączenia przedstawicieli ogółu mieszkańców lub lokalnych organizacji w planowanie, realizację i ocenę usług edukacyjnych, organ prowadzący powinien przede wszystkim zidentyfikować potencjalnych interesariuszy systemu. Budowa lokalnego partnerstwa na rzecz edukacji powinna się rozpocząć od rozpoznania partnerów i podjęcia próby włączenia ich w proces tworzenia / aktualizacji lokalnej strategii rozwoju oświaty i/lub działania związane z jej ewaluacją (np. w ramach gminnej / powiatowej </w:t>
            </w:r>
            <w:r w:rsidRPr="00075175">
              <w:rPr>
                <w:rFonts w:asciiTheme="minorHAnsi" w:hAnsiTheme="minorHAnsi"/>
                <w:sz w:val="24"/>
                <w:szCs w:val="24"/>
              </w:rPr>
              <w:t>rady oświatowej</w:t>
            </w:r>
            <w:r w:rsidRPr="00075175">
              <w:rPr>
                <w:rFonts w:asciiTheme="minorHAnsi" w:hAnsiTheme="minorHAnsi" w:cs="Arial"/>
                <w:sz w:val="24"/>
                <w:szCs w:val="24"/>
              </w:rPr>
              <w:t xml:space="preserve"> lub w formie komitetu monitorującego wdrażanie strategii).</w:t>
            </w:r>
          </w:p>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rPr>
              <w:t>Regulacje prawne dają tu władzom samorządowym wiele możliwości, ale równie ważne dla budowy trwałego mechanizmu współpracy są rozwiązania mniej formalne, jak np. cykliczne spotkania z mieszkańcami w różnych dzielnicach miasta czy sołectwach, propagowanie inicjatyw podejmowanych przez organizacje i osoby działające na rzecz rozwoju edukacji; systematyczne badania opinii mieszkańców (rodziców i uczniów) itp.</w:t>
            </w:r>
          </w:p>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rPr>
              <w:t xml:space="preserve">Źródłem poprawy jakości usług może być współpraca szkół między sobą lub z lokalnymi podmiotami przy realizacji zadań oświatowych - np. organizacja wspólnego transportu dzieci do szkół, organizacja zawodów międzyszkolnych, podejmowanie imprez promujących edukację, organizacja wypoczynku dla dzieci itd. Duże możliwości w tym zakresie stwarza system współpracy samorządu z lokalnymi organizacjami pozarządowymi, którego podstawą jest </w:t>
            </w:r>
            <w:r w:rsidRPr="00075175">
              <w:rPr>
                <w:rFonts w:asciiTheme="minorHAnsi" w:hAnsiTheme="minorHAnsi"/>
                <w:sz w:val="24"/>
                <w:szCs w:val="24"/>
              </w:rPr>
              <w:t>ustawa o organizacjach pożytku publicznego i wolontariacie</w:t>
            </w:r>
            <w:r w:rsidRPr="00075175">
              <w:rPr>
                <w:rFonts w:asciiTheme="minorHAnsi" w:hAnsiTheme="minorHAnsi" w:cs="Arial"/>
                <w:sz w:val="24"/>
                <w:szCs w:val="24"/>
              </w:rPr>
              <w:t>.  Poprzez odpwiednie ukierunkowanie finansowania lokalnych NGOs władze JST mogą promować podejmowanie zadań angażujących partnerów społecznych w działania na rzecz rozwoju lokalnej oświaty.</w:t>
            </w:r>
          </w:p>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rPr>
              <w:t xml:space="preserve">Nie mniej ważne jest bezpośrednie współdziałanie szkół / placówek organizacjami, które chcą wspierać realizację celów oświatowych. Tradycyjnie już szkoła jest miejscem aktywności związków harcerskich. Posiadając jednak odpowiednie zaplecze materialne (pomieszczenia, wyposażenie), może również stać się bazą dla wielu innych inicjatyw – chór, grupy hobbystyczne, kluby sportowe, kluby filmowe i dyskusyjne. Podejście organu prowadzącego do tego typu inicjatyw ma duży wpływ na postawę dyrektora i nauczycieli. </w:t>
            </w:r>
          </w:p>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rPr>
              <w:t>Na poziomie powiatowym istotne znaczenie ma współpraca szkół zawodowych (branżowych) z lokalnym pracodawcami (klasy patronackie, tzw. dualny system kształcenia) oraz powiatowym urzędem pracy.</w:t>
            </w:r>
          </w:p>
          <w:p w:rsidR="001A12CF" w:rsidRPr="00075175" w:rsidRDefault="001A12CF" w:rsidP="001A12CF">
            <w:pPr>
              <w:rPr>
                <w:rFonts w:asciiTheme="minorHAnsi" w:hAnsiTheme="minorHAnsi" w:cs="Arial"/>
                <w:sz w:val="24"/>
                <w:szCs w:val="24"/>
              </w:rPr>
            </w:pPr>
            <w:r w:rsidRPr="00075175">
              <w:rPr>
                <w:rFonts w:asciiTheme="minorHAnsi" w:hAnsiTheme="minorHAnsi" w:cs="Arial"/>
                <w:sz w:val="24"/>
                <w:szCs w:val="24"/>
              </w:rPr>
              <w:t>Możemy zatem wyróżnić co najmniej kilka zadań / funkcji władz samorządowych w obszarze „Udział mieszkańców i partnerów instytucjonalnych w procesie planowania, realizacji i oceny usług oświatowych”</w:t>
            </w:r>
          </w:p>
          <w:p w:rsidR="001A12CF" w:rsidRPr="00075175" w:rsidRDefault="001A12CF" w:rsidP="001A12CF">
            <w:pPr>
              <w:pStyle w:val="Akapitzlist"/>
              <w:numPr>
                <w:ilvl w:val="0"/>
                <w:numId w:val="22"/>
              </w:numPr>
              <w:spacing w:after="120"/>
              <w:ind w:left="357" w:hanging="357"/>
              <w:rPr>
                <w:rFonts w:asciiTheme="minorHAnsi" w:hAnsiTheme="minorHAnsi" w:cs="Arial"/>
                <w:sz w:val="24"/>
                <w:szCs w:val="24"/>
              </w:rPr>
            </w:pPr>
            <w:r w:rsidRPr="00075175">
              <w:rPr>
                <w:rFonts w:asciiTheme="minorHAnsi" w:hAnsiTheme="minorHAnsi" w:cs="Arial"/>
                <w:sz w:val="24"/>
                <w:szCs w:val="24"/>
              </w:rPr>
              <w:t>Utworzenie i współpraca organu prowadzącego z gminną / powiatową radą oświatową;</w:t>
            </w:r>
          </w:p>
          <w:p w:rsidR="001A12CF" w:rsidRPr="00075175" w:rsidRDefault="001A12CF" w:rsidP="001A12CF">
            <w:pPr>
              <w:pStyle w:val="Akapitzlist"/>
              <w:numPr>
                <w:ilvl w:val="0"/>
                <w:numId w:val="22"/>
              </w:numPr>
              <w:spacing w:after="120"/>
              <w:ind w:left="357" w:hanging="357"/>
              <w:rPr>
                <w:rFonts w:asciiTheme="minorHAnsi" w:hAnsiTheme="minorHAnsi" w:cs="Arial"/>
                <w:sz w:val="24"/>
                <w:szCs w:val="24"/>
              </w:rPr>
            </w:pPr>
            <w:r w:rsidRPr="00075175">
              <w:rPr>
                <w:rFonts w:asciiTheme="minorHAnsi" w:hAnsiTheme="minorHAnsi" w:cs="Arial"/>
                <w:sz w:val="24"/>
                <w:szCs w:val="24"/>
              </w:rPr>
              <w:t>Identyfikowanie i włączanie mieszkańców oraz lokalnych partnerów instytucjonalnych w proces diagnozowania potrzeb i planowania rozwoju oświaty;</w:t>
            </w:r>
          </w:p>
          <w:p w:rsidR="001A12CF" w:rsidRPr="00075175" w:rsidRDefault="001A12CF" w:rsidP="001A12CF">
            <w:pPr>
              <w:pStyle w:val="Akapitzlist"/>
              <w:numPr>
                <w:ilvl w:val="0"/>
                <w:numId w:val="22"/>
              </w:numPr>
              <w:spacing w:after="120"/>
              <w:ind w:left="357" w:hanging="357"/>
              <w:rPr>
                <w:rFonts w:asciiTheme="minorHAnsi" w:hAnsiTheme="minorHAnsi" w:cs="Arial"/>
                <w:sz w:val="24"/>
                <w:szCs w:val="24"/>
              </w:rPr>
            </w:pPr>
            <w:r w:rsidRPr="00075175">
              <w:rPr>
                <w:rFonts w:asciiTheme="minorHAnsi" w:hAnsiTheme="minorHAnsi" w:cs="Arial"/>
                <w:sz w:val="24"/>
                <w:szCs w:val="24"/>
              </w:rPr>
              <w:t>Finansowanie inicjatyw organizacji pozarządowych, ukierunkowanych na realizację celów oświatowych;</w:t>
            </w:r>
          </w:p>
          <w:p w:rsidR="001A12CF" w:rsidRPr="00075175" w:rsidRDefault="001A12CF" w:rsidP="001A12CF">
            <w:pPr>
              <w:pStyle w:val="Akapitzlist"/>
              <w:numPr>
                <w:ilvl w:val="0"/>
                <w:numId w:val="22"/>
              </w:numPr>
              <w:spacing w:after="120"/>
              <w:ind w:left="357" w:hanging="357"/>
              <w:rPr>
                <w:rFonts w:asciiTheme="minorHAnsi" w:hAnsiTheme="minorHAnsi" w:cs="Arial"/>
                <w:sz w:val="24"/>
                <w:szCs w:val="24"/>
              </w:rPr>
            </w:pPr>
            <w:r w:rsidRPr="00075175">
              <w:rPr>
                <w:rFonts w:asciiTheme="minorHAnsi" w:hAnsiTheme="minorHAnsi" w:cs="Arial"/>
                <w:sz w:val="24"/>
                <w:szCs w:val="24"/>
              </w:rPr>
              <w:t xml:space="preserve">Promowanie bezpośredniej współpracy szkół / placówek oświatowych z osobami i podmiotami, które mogą wzbogacić ofertę edukacyjną dla dzieci i młodzieży; </w:t>
            </w:r>
          </w:p>
          <w:p w:rsidR="001A12CF" w:rsidRPr="00075175" w:rsidRDefault="001A12CF" w:rsidP="001A12CF">
            <w:pPr>
              <w:pStyle w:val="Akapitzlist"/>
              <w:numPr>
                <w:ilvl w:val="0"/>
                <w:numId w:val="22"/>
              </w:numPr>
              <w:spacing w:after="120"/>
              <w:ind w:left="357" w:hanging="357"/>
              <w:rPr>
                <w:rFonts w:asciiTheme="minorHAnsi" w:hAnsiTheme="minorHAnsi" w:cs="Arial"/>
                <w:sz w:val="24"/>
                <w:szCs w:val="24"/>
              </w:rPr>
            </w:pPr>
            <w:r w:rsidRPr="00075175">
              <w:rPr>
                <w:rFonts w:asciiTheme="minorHAnsi" w:hAnsiTheme="minorHAnsi" w:cs="Arial"/>
                <w:sz w:val="24"/>
                <w:szCs w:val="24"/>
              </w:rPr>
              <w:t>Promowanie współpracy szkół zawodowych (branżowych) z lokalnym pracodawcami (w rozdz. 4 oczekujemy na opis narzędzi, które pozwalają robić to skutecznie, zwłaszcza rozwiązań systemowych);</w:t>
            </w:r>
          </w:p>
          <w:p w:rsidR="001A12CF" w:rsidRPr="00075175" w:rsidRDefault="001A12CF" w:rsidP="001A12CF">
            <w:pPr>
              <w:pStyle w:val="Akapitzlist"/>
              <w:numPr>
                <w:ilvl w:val="0"/>
                <w:numId w:val="22"/>
              </w:numPr>
              <w:spacing w:after="120"/>
              <w:ind w:left="357" w:hanging="357"/>
              <w:rPr>
                <w:rFonts w:asciiTheme="minorHAnsi" w:hAnsiTheme="minorHAnsi" w:cs="Arial"/>
                <w:sz w:val="24"/>
                <w:szCs w:val="24"/>
              </w:rPr>
            </w:pPr>
            <w:r w:rsidRPr="00075175">
              <w:rPr>
                <w:rFonts w:asciiTheme="minorHAnsi" w:hAnsiTheme="minorHAnsi" w:cs="Arial"/>
                <w:sz w:val="24"/>
                <w:szCs w:val="24"/>
              </w:rPr>
              <w:t xml:space="preserve">Włączanie ośrodków naukowych i instytucji eksperckich funkcjonujących na terenie gminy / </w:t>
            </w:r>
            <w:r w:rsidRPr="00075175">
              <w:rPr>
                <w:rFonts w:asciiTheme="minorHAnsi" w:hAnsiTheme="minorHAnsi" w:cs="Arial"/>
                <w:sz w:val="24"/>
                <w:szCs w:val="24"/>
              </w:rPr>
              <w:lastRenderedPageBreak/>
              <w:t>powiatu w proces monitorowania i oceny usług edukacyjnych;</w:t>
            </w:r>
          </w:p>
          <w:p w:rsidR="001A12CF" w:rsidRPr="00075175" w:rsidRDefault="001A12CF" w:rsidP="001A12CF">
            <w:pPr>
              <w:pStyle w:val="Akapitzlist"/>
              <w:numPr>
                <w:ilvl w:val="0"/>
                <w:numId w:val="22"/>
              </w:numPr>
              <w:spacing w:after="120"/>
              <w:ind w:left="357" w:hanging="357"/>
              <w:rPr>
                <w:rFonts w:asciiTheme="minorHAnsi" w:hAnsiTheme="minorHAnsi" w:cs="Arial"/>
                <w:sz w:val="24"/>
                <w:szCs w:val="24"/>
              </w:rPr>
            </w:pPr>
            <w:r w:rsidRPr="00075175">
              <w:rPr>
                <w:rFonts w:asciiTheme="minorHAnsi" w:hAnsiTheme="minorHAnsi" w:cs="Arial"/>
                <w:sz w:val="24"/>
                <w:szCs w:val="24"/>
              </w:rPr>
              <w:t xml:space="preserve">Współdziałanie z </w:t>
            </w:r>
            <w:r w:rsidRPr="00075175">
              <w:rPr>
                <w:rFonts w:asciiTheme="minorHAnsi" w:hAnsiTheme="minorHAnsi"/>
                <w:sz w:val="24"/>
                <w:szCs w:val="24"/>
              </w:rPr>
              <w:t>z kuratorem oświaty</w:t>
            </w:r>
            <w:r w:rsidRPr="00075175">
              <w:rPr>
                <w:rFonts w:asciiTheme="minorHAnsi" w:hAnsiTheme="minorHAnsi" w:cs="Arial"/>
                <w:sz w:val="24"/>
                <w:szCs w:val="24"/>
              </w:rPr>
              <w:t xml:space="preserve"> w tworzeniu i realizowaniu regionalnej i lokalnej polityki oświatowej, zgodnych z polityką oświatową państwa.</w:t>
            </w:r>
          </w:p>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[do weryfikacji / uzupełnienia]</w:t>
            </w:r>
          </w:p>
          <w:p w:rsidR="001A12CF" w:rsidRPr="00075175" w:rsidRDefault="001A12CF" w:rsidP="001A12CF">
            <w:pPr>
              <w:rPr>
                <w:rFonts w:asciiTheme="minorHAnsi" w:hAnsiTheme="minorHAnsi" w:cs="Arial"/>
                <w:sz w:val="24"/>
                <w:szCs w:val="24"/>
              </w:rPr>
            </w:pPr>
          </w:p>
          <w:p w:rsidR="001A12CF" w:rsidRPr="00075175" w:rsidRDefault="001A12CF" w:rsidP="001A12CF">
            <w:pPr>
              <w:spacing w:before="60" w:after="60"/>
              <w:jc w:val="left"/>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5"/>
              </w:numPr>
              <w:outlineLvl w:val="1"/>
              <w:rPr>
                <w:rFonts w:asciiTheme="minorHAnsi" w:hAnsiTheme="minorHAnsi"/>
                <w:sz w:val="24"/>
                <w:szCs w:val="24"/>
              </w:rPr>
            </w:pPr>
            <w:r w:rsidRPr="00075175">
              <w:rPr>
                <w:rFonts w:asciiTheme="minorHAnsi" w:hAnsiTheme="minorHAnsi"/>
                <w:sz w:val="24"/>
                <w:szCs w:val="24"/>
              </w:rPr>
              <w:lastRenderedPageBreak/>
              <w:t>Narzędzia i rozwiązania zarządcze</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Wykonawca powinien systematycznie opisać znane mu narzędzia i rozwiązania zarządcze wykorzystywane w celu realizacji kluczowych zadań i funkcji organu prowadzącego w danym obszarze. Oczekujemy, że każdej z funkcji wspomnianych w pkt. 3 zostaną przypisane co najmniej 2 różne rozwiązania zarządcze.</w:t>
            </w:r>
          </w:p>
        </w:tc>
      </w:tr>
      <w:tr w:rsidR="001A12CF" w:rsidRPr="00075175" w:rsidTr="001A12CF">
        <w:trPr>
          <w:trHeight w:val="28"/>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[do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5"/>
              </w:numPr>
              <w:outlineLvl w:val="1"/>
              <w:rPr>
                <w:rFonts w:asciiTheme="minorHAnsi" w:hAnsiTheme="minorHAnsi"/>
                <w:sz w:val="24"/>
                <w:szCs w:val="24"/>
              </w:rPr>
            </w:pPr>
            <w:r w:rsidRPr="00075175">
              <w:rPr>
                <w:rFonts w:asciiTheme="minorHAnsi" w:hAnsiTheme="minorHAnsi"/>
                <w:sz w:val="24"/>
                <w:szCs w:val="24"/>
              </w:rPr>
              <w:t>Dobre praktyki</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 Nie zakładamy tworzenia nowych opisów dobrej praktyki. Wykonawca powinien natomiast dokonać przeglądu i analizy dostępnych opracowań oraz dobrać przykłady prezentujące wzorcowe podejście samorządów do zarządzania oświatą w badanym obszarze*. Wybrane praktyki powinny zostać opatrzone komentarzem, wyjaśniającym: Jakiego zadania dotyczą? W jakiej mierze są ilustracją omówionych wcześniej narzędzi? Kto i dlaczego powinien się zapoznać z opisem? Na co ma zwrócić uwagę?</w:t>
            </w:r>
          </w:p>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Oczekujemy, że każde z narzędzi zarządczych omawianych w ramach pkt 4 zostanie zilustrowane odniesieniem do co najmniej dwóch przykładów jego skutecznego zastosowania w samorządach różnego typu. Jeśli dane rozwiązanie nie doczekało się jeszcze pełnej adaptacji w polskich warunkach, możliwe jest podanie wdrożeń częściowych i wzorców zagranicznych.</w:t>
            </w:r>
          </w:p>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 Wykonawca może również wskazać znane mu ośrodki, gdzie wdrażane są innowacyjne rozwiązania, nawet jeśli nie doczekały się one jeszcze publikacji w formie opisu dobrej praktyki. W takim przypadku oczekujemy podania namiarów na osobę kontaktową, która może dostarczyć szczegółowych informacji na ten temat.</w:t>
            </w:r>
          </w:p>
        </w:tc>
      </w:tr>
      <w:tr w:rsidR="001A12CF" w:rsidRPr="00075175" w:rsidTr="001A12CF">
        <w:trPr>
          <w:trHeight w:val="28"/>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lastRenderedPageBreak/>
              <w:t>[do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5"/>
              </w:numPr>
              <w:outlineLvl w:val="1"/>
              <w:rPr>
                <w:rFonts w:asciiTheme="minorHAnsi" w:hAnsiTheme="minorHAnsi"/>
                <w:sz w:val="24"/>
                <w:szCs w:val="24"/>
              </w:rPr>
            </w:pPr>
            <w:r w:rsidRPr="00075175">
              <w:rPr>
                <w:rFonts w:asciiTheme="minorHAnsi" w:hAnsiTheme="minorHAnsi"/>
                <w:sz w:val="24"/>
                <w:szCs w:val="24"/>
              </w:rPr>
              <w:t>Analiza kluczowych problemów</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Wykonawca powinien wskazać kluczowe bariery utrudniające prawidłową realizację funkcji i zadań wymienionych pkt 3. (np. Ograniczenia mogą wynikać z uwarunkowań prawnych i systemowych, wiązać się z postawami lub kompetencjami kadry zarządzającej, brakiem odpowiednich zasobów, uwarunkowaniami instytucjonalnymi, itp.) Oczekuje się, że Wykonawca oceni względną wagę danego problemu, zidentyfikuje jego źródła oraz zaproponuje kierunki działań, które należałoby podjąć w celu jego rozwiązania.</w:t>
            </w:r>
          </w:p>
        </w:tc>
      </w:tr>
      <w:tr w:rsidR="001A12CF" w:rsidRPr="00075175" w:rsidTr="001A12CF">
        <w:trPr>
          <w:trHeight w:val="28"/>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[do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5"/>
              </w:numPr>
              <w:outlineLvl w:val="1"/>
              <w:rPr>
                <w:rFonts w:asciiTheme="minorHAnsi" w:hAnsiTheme="minorHAnsi"/>
                <w:sz w:val="24"/>
                <w:szCs w:val="24"/>
              </w:rPr>
            </w:pPr>
            <w:r w:rsidRPr="00075175">
              <w:rPr>
                <w:rFonts w:asciiTheme="minorHAnsi" w:hAnsiTheme="minorHAnsi"/>
                <w:sz w:val="24"/>
                <w:szCs w:val="24"/>
              </w:rPr>
              <w:t>Trendy i tendencje w rozwoju obszaru</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W oparciu o przegląd dostępnej literatury Wykonawca zaprezentuje krótko najciekawsze zjawiska, tendencje i prawidłowości obserwowane w Polsce i za granicą w zakresie zarządzania oświatą w analizowanym obszarze. Porówna je między sobą i z dominującą w kraju praktyką. Oczekuje się, że przegląd zostanie uzupełniony bibliografią wykorzystanych publikacji oraz linkami do witryn ośrodków – aktywnych w zakresie wspomnianych w tekście innowacji i prac koncepcyjnych.</w:t>
            </w:r>
          </w:p>
        </w:tc>
      </w:tr>
      <w:tr w:rsidR="001A12CF" w:rsidRPr="00075175" w:rsidTr="001A12CF">
        <w:trPr>
          <w:trHeight w:val="268"/>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[do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bl>
    <w:p w:rsidR="001A12CF" w:rsidRPr="00075175" w:rsidRDefault="001A12CF">
      <w:pPr>
        <w:spacing w:after="200" w:line="276" w:lineRule="auto"/>
        <w:jc w:val="left"/>
        <w:rPr>
          <w:rFonts w:asciiTheme="minorHAnsi" w:hAnsiTheme="minorHAnsi"/>
          <w:sz w:val="24"/>
          <w:szCs w:val="24"/>
        </w:rPr>
      </w:pPr>
    </w:p>
    <w:p w:rsidR="001A12CF" w:rsidRPr="00075175" w:rsidRDefault="001A12CF">
      <w:pPr>
        <w:spacing w:after="200" w:line="276" w:lineRule="auto"/>
        <w:jc w:val="left"/>
        <w:rPr>
          <w:rFonts w:asciiTheme="minorHAnsi" w:hAnsiTheme="minorHAnsi"/>
          <w:sz w:val="24"/>
          <w:szCs w:val="24"/>
        </w:rPr>
      </w:pPr>
      <w:r w:rsidRPr="00075175">
        <w:rPr>
          <w:rFonts w:asciiTheme="minorHAnsi" w:hAnsiTheme="minorHAnsi"/>
          <w:sz w:val="24"/>
          <w:szCs w:val="24"/>
        </w:rPr>
        <w:br w:type="page"/>
      </w:r>
    </w:p>
    <w:tbl>
      <w:tblPr>
        <w:tblStyle w:val="Tabela-Siatka"/>
        <w:tblW w:w="9634" w:type="dxa"/>
        <w:tblLayout w:type="fixed"/>
        <w:tblCellMar>
          <w:top w:w="57" w:type="dxa"/>
          <w:left w:w="85" w:type="dxa"/>
          <w:bottom w:w="57" w:type="dxa"/>
          <w:right w:w="85" w:type="dxa"/>
        </w:tblCellMar>
        <w:tblLook w:val="04A0"/>
      </w:tblPr>
      <w:tblGrid>
        <w:gridCol w:w="9634"/>
      </w:tblGrid>
      <w:tr w:rsidR="001A12CF" w:rsidRPr="00075175" w:rsidTr="001A12CF">
        <w:tc>
          <w:tcPr>
            <w:tcW w:w="9634" w:type="dxa"/>
          </w:tcPr>
          <w:p w:rsidR="00C60611" w:rsidRPr="00075175" w:rsidRDefault="00C60611" w:rsidP="00C60611">
            <w:pPr>
              <w:rPr>
                <w:rFonts w:asciiTheme="minorHAnsi" w:hAnsiTheme="minorHAnsi"/>
                <w:b/>
                <w:sz w:val="24"/>
                <w:szCs w:val="24"/>
              </w:rPr>
            </w:pPr>
            <w:r w:rsidRPr="00075175">
              <w:rPr>
                <w:rFonts w:asciiTheme="minorHAnsi" w:hAnsiTheme="minorHAnsi"/>
                <w:b/>
                <w:sz w:val="24"/>
                <w:szCs w:val="24"/>
              </w:rPr>
              <w:lastRenderedPageBreak/>
              <w:t>Wsparcie kadry jednostek samorządu terytorialnego w zarządzaniu oświatą ukierunkowanym na rozwój szkół i kompetencji kluczowych uczniów  (POWR.02.10.00-IP.02-00-003/15)</w:t>
            </w:r>
          </w:p>
          <w:p w:rsidR="00C60611" w:rsidRPr="00075175" w:rsidRDefault="00C60611" w:rsidP="00C60611">
            <w:pPr>
              <w:pStyle w:val="Tytu"/>
              <w:rPr>
                <w:rFonts w:asciiTheme="minorHAnsi" w:hAnsiTheme="minorHAnsi"/>
                <w:sz w:val="24"/>
                <w:szCs w:val="24"/>
              </w:rPr>
            </w:pPr>
            <w:r w:rsidRPr="00075175">
              <w:rPr>
                <w:rFonts w:asciiTheme="minorHAnsi" w:hAnsiTheme="minorHAnsi"/>
                <w:sz w:val="24"/>
                <w:szCs w:val="24"/>
              </w:rPr>
              <w:t xml:space="preserve">Strategiczny przegląd sytuacji w obszarze 12: </w:t>
            </w:r>
          </w:p>
          <w:p w:rsidR="001A12CF" w:rsidRPr="00075175" w:rsidRDefault="001A12CF" w:rsidP="00C60611">
            <w:pPr>
              <w:pStyle w:val="Nagwek1"/>
              <w:outlineLvl w:val="0"/>
              <w:rPr>
                <w:rFonts w:asciiTheme="minorHAnsi" w:hAnsiTheme="minorHAnsi"/>
                <w:szCs w:val="24"/>
              </w:rPr>
            </w:pPr>
            <w:bookmarkStart w:id="5" w:name="_Toc494887099"/>
            <w:r w:rsidRPr="00075175">
              <w:rPr>
                <w:rFonts w:asciiTheme="minorHAnsi" w:hAnsiTheme="minorHAnsi"/>
                <w:szCs w:val="24"/>
              </w:rPr>
              <w:t>Udział rodziców w planowaniu, realizacji i ocenie usług edukacyjnych</w:t>
            </w:r>
            <w:bookmarkEnd w:id="5"/>
          </w:p>
        </w:tc>
      </w:tr>
      <w:tr w:rsidR="001A12CF" w:rsidRPr="00075175" w:rsidTr="001A12CF">
        <w:tc>
          <w:tcPr>
            <w:tcW w:w="9634" w:type="dxa"/>
          </w:tcPr>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6"/>
              </w:numPr>
              <w:outlineLvl w:val="1"/>
              <w:rPr>
                <w:rFonts w:asciiTheme="minorHAnsi" w:hAnsiTheme="minorHAnsi"/>
                <w:sz w:val="24"/>
                <w:szCs w:val="24"/>
              </w:rPr>
            </w:pPr>
            <w:r w:rsidRPr="00075175">
              <w:rPr>
                <w:rFonts w:asciiTheme="minorHAnsi" w:hAnsiTheme="minorHAnsi"/>
                <w:sz w:val="24"/>
                <w:szCs w:val="24"/>
              </w:rPr>
              <w:t>Podstawa prawna działania samorządu</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Omówienie aktualnej podstawy prawnej działania samorządu w analizowanym obszarze, w tym aktualnych regulacji i podejmowanych inicjatyw legislacyjnych (jeśli dotyczy). Jeśli w okresie realizacji zlecenia prowadzone będą prace parlamentarne nad zmianami obowiązującego prawa, ocena ich wpływu na sposób realizacji przez JST zadań oświatowych.</w:t>
            </w:r>
          </w:p>
        </w:tc>
      </w:tr>
      <w:tr w:rsidR="001A12CF" w:rsidRPr="00075175" w:rsidTr="001A12CF">
        <w:trPr>
          <w:trHeight w:val="3059"/>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rPr>
              <w:t>Ustawa Prawo oświatowe określa, iż w szkołach prowadzonych przez jednostki samorządu terytorialnego co do zasady działają rady szkół (art. 80-82) oraz rady rodziców (art. 83). Są to dwie podstawowe, zinstytucjonalizowane formy zapewnienia rodzicom możliwości wpływu na funkcjonowanie szkoły.</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 xml:space="preserve">Wśród zadań rady szkoły, której członkami również mogą być przedstawiciele rodziców, są m.in. uchwalanie statutu szkoły, opiniowanie planu rozwoju i projektu planu finansowego szkoły. Z kolei  rada rodziców (art. 84 upo) może występować do dyrektora i innych organów szkoły lub organu prowadzącego szkołę, a także do kuratora z wnioskami i opiniami we wszystkich sprawach szkoły. Do kompetencji rady rodziców należy: uchwalanie w porozumieniu z radą pedagogiczną programu wychowawczo-profilaktycznego szkoły, opiniowanie programu i harmonogramu poprawy efektywności kształcenia lub wychowania, opiniowanie projektu planu finansowego szkoły. </w:t>
            </w:r>
          </w:p>
          <w:p w:rsidR="001A12CF" w:rsidRPr="00075175" w:rsidRDefault="001A12CF" w:rsidP="001A12CF">
            <w:pPr>
              <w:rPr>
                <w:rFonts w:asciiTheme="minorHAnsi" w:hAnsiTheme="minorHAnsi"/>
                <w:sz w:val="24"/>
                <w:szCs w:val="24"/>
              </w:rPr>
            </w:pPr>
            <w:r w:rsidRPr="00075175">
              <w:rPr>
                <w:rFonts w:asciiTheme="minorHAnsi" w:hAnsiTheme="minorHAnsi"/>
                <w:sz w:val="24"/>
                <w:szCs w:val="24"/>
              </w:rPr>
              <w:t>W celu wspierania działalności statutowej szkoły rada rodziców może gromadzić fundusze z dobrowolnych składek rodziców oraz innych źródeł. Zasady wydatkowania funduszy rady rodziców określa regulamin rady.</w:t>
            </w:r>
          </w:p>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 xml:space="preserve"> [do weryfikacji /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6"/>
              </w:numPr>
              <w:outlineLvl w:val="1"/>
              <w:rPr>
                <w:rFonts w:asciiTheme="minorHAnsi" w:hAnsiTheme="minorHAnsi"/>
                <w:sz w:val="24"/>
                <w:szCs w:val="24"/>
              </w:rPr>
            </w:pPr>
            <w:r w:rsidRPr="00075175">
              <w:rPr>
                <w:rFonts w:asciiTheme="minorHAnsi" w:hAnsiTheme="minorHAnsi"/>
                <w:sz w:val="24"/>
                <w:szCs w:val="24"/>
              </w:rPr>
              <w:t>Analiza ilościowa</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Analiza ilościowa zagadnień związanych z badanym obszarem: Jakie usługi / zadania są realizowane? W jakiej ilości / jakości (parametry obiektywne)? Jakim kosztem (koszty jednostkowe)? Jaka jest ich dostępność dla mieszkańców gminy / powiatu? Zaproponowanie i omówienie wskaźników kontekstowych ważnych dla interpretacji danych ilościowych.</w:t>
            </w:r>
          </w:p>
        </w:tc>
      </w:tr>
      <w:tr w:rsidR="001A12CF" w:rsidRPr="00075175" w:rsidTr="001A12CF">
        <w:trPr>
          <w:trHeight w:val="28"/>
        </w:trPr>
        <w:tc>
          <w:tcPr>
            <w:tcW w:w="9634" w:type="dxa"/>
          </w:tcPr>
          <w:p w:rsidR="001A12CF" w:rsidRPr="00075175" w:rsidRDefault="001A12CF" w:rsidP="001A12CF">
            <w:pPr>
              <w:rPr>
                <w:rFonts w:asciiTheme="minorHAnsi" w:hAnsiTheme="minorHAnsi"/>
                <w:sz w:val="24"/>
                <w:szCs w:val="24"/>
                <w:highlight w:val="yellow"/>
              </w:rPr>
            </w:pPr>
            <w:r w:rsidRPr="00075175">
              <w:rPr>
                <w:rFonts w:asciiTheme="minorHAnsi" w:hAnsiTheme="minorHAnsi"/>
                <w:sz w:val="24"/>
                <w:szCs w:val="24"/>
                <w:highlight w:val="yellow"/>
              </w:rPr>
              <w:t>[Oczekuje się, że wykonawca krótko omówi zagadnienie w kategoriach ilościowych – w takim zakresie w jakim dane źródłowe lub udokumentowane w literaturze szacunki będą dostępne]</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rPr>
          <w:trHeight w:val="584"/>
        </w:trPr>
        <w:tc>
          <w:tcPr>
            <w:tcW w:w="9634" w:type="dxa"/>
          </w:tcPr>
          <w:p w:rsidR="001A12CF" w:rsidRPr="00075175" w:rsidRDefault="001A12CF" w:rsidP="00225D72">
            <w:pPr>
              <w:pStyle w:val="Nagwek2"/>
              <w:numPr>
                <w:ilvl w:val="0"/>
                <w:numId w:val="36"/>
              </w:numPr>
              <w:outlineLvl w:val="1"/>
              <w:rPr>
                <w:rFonts w:asciiTheme="minorHAnsi" w:hAnsiTheme="minorHAnsi"/>
                <w:sz w:val="24"/>
                <w:szCs w:val="24"/>
              </w:rPr>
            </w:pPr>
            <w:r w:rsidRPr="00075175">
              <w:rPr>
                <w:rFonts w:asciiTheme="minorHAnsi" w:hAnsiTheme="minorHAnsi"/>
                <w:sz w:val="24"/>
                <w:szCs w:val="24"/>
              </w:rPr>
              <w:lastRenderedPageBreak/>
              <w:t>Rola organu prowadzącego</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Prezentacja roli organu prowadzącego w badanym obszarze: cel, zasady i formy możliwego działania wraz z ich charakterystyką oraz przedstawieniem zróżnicowanych podejść i uwarunkowań instytucjonalnych. Wynikiem tej części analizy powinna być lista zadań / funkcji, które powinny być / mogą być realizowane przez JST w tym zakresie.</w:t>
            </w:r>
          </w:p>
        </w:tc>
      </w:tr>
      <w:tr w:rsidR="001A12CF" w:rsidRPr="00075175" w:rsidTr="001A12CF">
        <w:trPr>
          <w:trHeight w:val="4641"/>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rPr>
              <w:t>Wśród zadań / funkcji władz samorządowych w tym obszarze wymienić można np.:</w:t>
            </w:r>
          </w:p>
          <w:p w:rsidR="001A12CF" w:rsidRPr="00075175" w:rsidRDefault="001A12CF" w:rsidP="001A12CF">
            <w:pPr>
              <w:pStyle w:val="Akapitzlist"/>
              <w:numPr>
                <w:ilvl w:val="0"/>
                <w:numId w:val="23"/>
              </w:numPr>
              <w:ind w:left="336" w:hanging="284"/>
              <w:rPr>
                <w:rFonts w:asciiTheme="minorHAnsi" w:hAnsiTheme="minorHAnsi"/>
                <w:sz w:val="24"/>
                <w:szCs w:val="24"/>
              </w:rPr>
            </w:pPr>
            <w:r w:rsidRPr="00075175">
              <w:rPr>
                <w:rFonts w:asciiTheme="minorHAnsi" w:hAnsiTheme="minorHAnsi"/>
                <w:sz w:val="24"/>
                <w:szCs w:val="24"/>
              </w:rPr>
              <w:t>Informowanie rodziców (w tym przy wykorzystaniu funkcjonujących rad rodziców) nt. realizowanej polityki oświatowej, ich roli w lokalnym systemie edukacji oraz możliwościach wpływania na kierunki jego rozwoju;</w:t>
            </w:r>
          </w:p>
          <w:p w:rsidR="001A12CF" w:rsidRPr="00075175" w:rsidRDefault="001A12CF" w:rsidP="001A12CF">
            <w:pPr>
              <w:pStyle w:val="Akapitzlist"/>
              <w:numPr>
                <w:ilvl w:val="0"/>
                <w:numId w:val="23"/>
              </w:numPr>
              <w:ind w:left="336" w:hanging="284"/>
              <w:rPr>
                <w:rFonts w:asciiTheme="minorHAnsi" w:hAnsiTheme="minorHAnsi"/>
                <w:sz w:val="24"/>
                <w:szCs w:val="24"/>
              </w:rPr>
            </w:pPr>
            <w:r w:rsidRPr="00075175">
              <w:rPr>
                <w:rFonts w:asciiTheme="minorHAnsi" w:hAnsiTheme="minorHAnsi"/>
                <w:sz w:val="24"/>
                <w:szCs w:val="24"/>
              </w:rPr>
              <w:t>Włączanie przedstawicieli rodziców w działanie ciał odpowiedzialnych za planowanie i ocenę polityki oświatowej (np. Rada Oświatowa);</w:t>
            </w:r>
          </w:p>
          <w:p w:rsidR="001A12CF" w:rsidRPr="00075175" w:rsidRDefault="001A12CF" w:rsidP="001A12CF">
            <w:pPr>
              <w:pStyle w:val="Akapitzlist"/>
              <w:numPr>
                <w:ilvl w:val="0"/>
                <w:numId w:val="23"/>
              </w:numPr>
              <w:ind w:left="336" w:hanging="284"/>
              <w:rPr>
                <w:rFonts w:asciiTheme="minorHAnsi" w:hAnsiTheme="minorHAnsi"/>
                <w:sz w:val="24"/>
                <w:szCs w:val="24"/>
              </w:rPr>
            </w:pPr>
            <w:r w:rsidRPr="00075175">
              <w:rPr>
                <w:rFonts w:asciiTheme="minorHAnsi" w:hAnsiTheme="minorHAnsi"/>
                <w:sz w:val="24"/>
                <w:szCs w:val="24"/>
              </w:rPr>
              <w:t>Badanie potrzeb i opinii mieszkańców (zwłaszcza uczniów i rodziców) nt. jakości usług edukacyjnych;</w:t>
            </w:r>
          </w:p>
          <w:p w:rsidR="001A12CF" w:rsidRPr="00075175" w:rsidRDefault="001A12CF" w:rsidP="001A12CF">
            <w:pPr>
              <w:pStyle w:val="Akapitzlist"/>
              <w:numPr>
                <w:ilvl w:val="0"/>
                <w:numId w:val="23"/>
              </w:numPr>
              <w:spacing w:before="60"/>
              <w:ind w:left="336" w:hanging="284"/>
              <w:jc w:val="left"/>
              <w:rPr>
                <w:rFonts w:asciiTheme="minorHAnsi" w:hAnsiTheme="minorHAnsi"/>
                <w:sz w:val="24"/>
                <w:szCs w:val="24"/>
              </w:rPr>
            </w:pPr>
            <w:r w:rsidRPr="00075175">
              <w:rPr>
                <w:rFonts w:asciiTheme="minorHAnsi" w:hAnsiTheme="minorHAnsi"/>
                <w:sz w:val="24"/>
                <w:szCs w:val="24"/>
              </w:rPr>
              <w:t xml:space="preserve">Włączanie rodziców w proces podejmowania decyzji istotnych dla konkretnej szkoły / placówki ale również - dla rozwoju całego systemu lokalnej oświaty  (np. przy planowaniu sieci szkół i wyznaczaniu kierunków oferty edukacyjnej). </w:t>
            </w:r>
          </w:p>
          <w:p w:rsidR="001A12CF" w:rsidRPr="00075175" w:rsidRDefault="001A12CF" w:rsidP="001A12CF">
            <w:pPr>
              <w:ind w:left="52"/>
              <w:rPr>
                <w:rFonts w:asciiTheme="minorHAnsi" w:hAnsiTheme="minorHAnsi"/>
                <w:sz w:val="24"/>
                <w:szCs w:val="24"/>
              </w:rPr>
            </w:pPr>
            <w:r w:rsidRPr="00075175">
              <w:rPr>
                <w:rFonts w:asciiTheme="minorHAnsi" w:hAnsiTheme="minorHAnsi"/>
                <w:sz w:val="24"/>
                <w:szCs w:val="24"/>
              </w:rPr>
              <w:t>Podejmując tego typu działania, władze samorządowe powinny poszukiwać form interaktywnych, zachęcających rodziców do samodzielnego podejmowania inicjatyw oraz przyjmowania współodpowiedzialności za proces kształcenia i wychowania dzieci / młodzieży.</w:t>
            </w:r>
          </w:p>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[do weryfikacji / uzupełnienia oraz zilustrowania narzędziami]</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6"/>
              </w:numPr>
              <w:outlineLvl w:val="1"/>
              <w:rPr>
                <w:rFonts w:asciiTheme="minorHAnsi" w:hAnsiTheme="minorHAnsi"/>
                <w:sz w:val="24"/>
                <w:szCs w:val="24"/>
              </w:rPr>
            </w:pPr>
            <w:r w:rsidRPr="00075175">
              <w:rPr>
                <w:rFonts w:asciiTheme="minorHAnsi" w:hAnsiTheme="minorHAnsi"/>
                <w:sz w:val="24"/>
                <w:szCs w:val="24"/>
              </w:rPr>
              <w:t>Narzędzia i rozwiązania zarządcze</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Wykonawca powinien systematycznie opisać znane mu narzędzia i rozwiązania zarządcze wykorzystywane w celu realizacji kluczowych zadań i funkcji organu prowadzącego w danym obszarze. Oczekujemy, że każdej z funkcji wspomnianych w pkt. 3 zostaną przypisane co najmniej 2 różne rozwiązania zarządcze.</w:t>
            </w:r>
          </w:p>
        </w:tc>
      </w:tr>
      <w:tr w:rsidR="001A12CF" w:rsidRPr="00075175" w:rsidTr="001A12CF">
        <w:trPr>
          <w:trHeight w:val="28"/>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[do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6"/>
              </w:numPr>
              <w:outlineLvl w:val="1"/>
              <w:rPr>
                <w:rFonts w:asciiTheme="minorHAnsi" w:hAnsiTheme="minorHAnsi"/>
                <w:sz w:val="24"/>
                <w:szCs w:val="24"/>
              </w:rPr>
            </w:pPr>
            <w:r w:rsidRPr="00075175">
              <w:rPr>
                <w:rFonts w:asciiTheme="minorHAnsi" w:hAnsiTheme="minorHAnsi"/>
                <w:sz w:val="24"/>
                <w:szCs w:val="24"/>
              </w:rPr>
              <w:t>Dobre praktyki</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 xml:space="preserve">Instrukcja: - Nie zakładamy tworzenia nowych opisów dobrej praktyki. Wykonawca powinien </w:t>
            </w:r>
            <w:r w:rsidRPr="00075175">
              <w:rPr>
                <w:rFonts w:asciiTheme="minorHAnsi" w:hAnsiTheme="minorHAnsi"/>
                <w:i/>
                <w:sz w:val="24"/>
                <w:szCs w:val="24"/>
              </w:rPr>
              <w:lastRenderedPageBreak/>
              <w:t>natomiast dokonać przeglądu i analizy dostępnych opracowań oraz dobrać przykłady prezentujące wzorcowe podejście samorządów do zarządzania oświatą w badanym obszarze*. Wybrane praktyki powinny zostać opatrzone komentarzem, wyjaśniającym: Jakiego zadania dotyczą? W jakiej mierze są ilustracją omówionych wcześniej narzędzi? Kto i dlaczego powinien się zapoznać z opisem? Na co ma zwrócić uwagę?</w:t>
            </w:r>
          </w:p>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Oczekujemy, że każde z narzędzi zarządczych omawianych w ramach pkt 4 zostanie zilustrowane odniesieniem do co najmniej dwóch przykładów jego skutecznego zastosowania w samorządach różnego typu. Jeśli dane rozwiązanie nie doczekało się jeszcze pełnej adaptacji w polskich warunkach, możliwe jest podanie wdrożeń częściowych i wzorców zagranicznych.</w:t>
            </w:r>
          </w:p>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 Wykonawca może również wskazać znane mu ośrodki, gdzie wdrażane są innowacyjne rozwiązania, nawet jeśli nie doczekały się one jeszcze publikacji w formie opisu dobrej praktyki. W takim przypadku oczekujemy podania namiarów na osobę kontaktową, która może dostarczyć szczegółowych informacji na ten temat.</w:t>
            </w:r>
          </w:p>
        </w:tc>
      </w:tr>
      <w:tr w:rsidR="001A12CF" w:rsidRPr="00075175" w:rsidTr="001A12CF">
        <w:trPr>
          <w:trHeight w:val="28"/>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lastRenderedPageBreak/>
              <w:t>[do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6"/>
              </w:numPr>
              <w:outlineLvl w:val="1"/>
              <w:rPr>
                <w:rFonts w:asciiTheme="minorHAnsi" w:hAnsiTheme="minorHAnsi"/>
                <w:sz w:val="24"/>
                <w:szCs w:val="24"/>
              </w:rPr>
            </w:pPr>
            <w:r w:rsidRPr="00075175">
              <w:rPr>
                <w:rFonts w:asciiTheme="minorHAnsi" w:hAnsiTheme="minorHAnsi"/>
                <w:sz w:val="24"/>
                <w:szCs w:val="24"/>
              </w:rPr>
              <w:t>Analiza kluczowych problemów</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Wykonawca powinien wskazać kluczowe bariery utrudniające prawidłową realizację funkcji i zadań wymienionych pkt 3. (np. Ograniczenia mogą wynikać z uwarunkowań prawnych i systemowych, wiązać się z postawami lub kompetencjami kadry zarządzającej, brakiem odpowiednich zasobów, uwarunkowaniami instytucjonalnymi, itp.) Oczekuje się, że Wykonawca oceni względną wagę danego problemu, zidentyfikuje jego źródła oraz zaproponuje kierunki działań, które należałoby podjąć w celu jego rozwiązania.</w:t>
            </w:r>
          </w:p>
        </w:tc>
      </w:tr>
      <w:tr w:rsidR="001A12CF" w:rsidRPr="00075175" w:rsidTr="001A12CF">
        <w:trPr>
          <w:trHeight w:val="28"/>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[do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r w:rsidR="001A12CF" w:rsidRPr="00075175" w:rsidTr="001A12CF">
        <w:tc>
          <w:tcPr>
            <w:tcW w:w="9634" w:type="dxa"/>
          </w:tcPr>
          <w:p w:rsidR="001A12CF" w:rsidRPr="00075175" w:rsidRDefault="001A12CF" w:rsidP="00225D72">
            <w:pPr>
              <w:pStyle w:val="Nagwek2"/>
              <w:numPr>
                <w:ilvl w:val="0"/>
                <w:numId w:val="36"/>
              </w:numPr>
              <w:outlineLvl w:val="1"/>
              <w:rPr>
                <w:rFonts w:asciiTheme="minorHAnsi" w:hAnsiTheme="minorHAnsi"/>
                <w:sz w:val="24"/>
                <w:szCs w:val="24"/>
              </w:rPr>
            </w:pPr>
            <w:r w:rsidRPr="00075175">
              <w:rPr>
                <w:rFonts w:asciiTheme="minorHAnsi" w:hAnsiTheme="minorHAnsi"/>
                <w:sz w:val="24"/>
                <w:szCs w:val="24"/>
              </w:rPr>
              <w:t>Trendy i tendencje w rozwoju obszaru</w:t>
            </w:r>
          </w:p>
        </w:tc>
      </w:tr>
      <w:tr w:rsidR="001A12CF" w:rsidRPr="00075175" w:rsidTr="001A12CF">
        <w:tc>
          <w:tcPr>
            <w:tcW w:w="9634" w:type="dxa"/>
            <w:shd w:val="clear" w:color="auto" w:fill="D9D9D9" w:themeFill="background1" w:themeFillShade="D9"/>
          </w:tcPr>
          <w:p w:rsidR="001A12CF" w:rsidRPr="00075175" w:rsidRDefault="001A12CF" w:rsidP="001A12CF">
            <w:pPr>
              <w:rPr>
                <w:rFonts w:asciiTheme="minorHAnsi" w:hAnsiTheme="minorHAnsi"/>
                <w:i/>
                <w:sz w:val="24"/>
                <w:szCs w:val="24"/>
              </w:rPr>
            </w:pPr>
            <w:r w:rsidRPr="00075175">
              <w:rPr>
                <w:rFonts w:asciiTheme="minorHAnsi" w:hAnsiTheme="minorHAnsi"/>
                <w:i/>
                <w:sz w:val="24"/>
                <w:szCs w:val="24"/>
              </w:rPr>
              <w:t>Instrukcja: W oparciu o przegląd dostępnej literatury Wykonawca zaprezentuje krótko najciekawsze zjawiska, tendencje i prawidłowości obserwowane w Polsce i za granicą w zakresie zarządzania oświatą w analizowanym obszarze. Porówna je między sobą i z dominującą w kraju praktyką. Oczekuje się, że przegląd zostanie uzupełniony bibliografią wykorzystanych publikacji oraz linkami do witryn ośrodków – aktywnych w zakresie wspomnianych w tekście innowacji i prac koncepcyjnych.</w:t>
            </w:r>
          </w:p>
        </w:tc>
      </w:tr>
      <w:tr w:rsidR="001A12CF" w:rsidRPr="00075175" w:rsidTr="001A12CF">
        <w:trPr>
          <w:trHeight w:val="268"/>
        </w:trPr>
        <w:tc>
          <w:tcPr>
            <w:tcW w:w="9634" w:type="dxa"/>
          </w:tcPr>
          <w:p w:rsidR="001A12CF" w:rsidRPr="00075175" w:rsidRDefault="001A12CF" w:rsidP="001A12CF">
            <w:pPr>
              <w:rPr>
                <w:rFonts w:asciiTheme="minorHAnsi" w:hAnsiTheme="minorHAnsi"/>
                <w:sz w:val="24"/>
                <w:szCs w:val="24"/>
              </w:rPr>
            </w:pPr>
            <w:r w:rsidRPr="00075175">
              <w:rPr>
                <w:rFonts w:asciiTheme="minorHAnsi" w:hAnsiTheme="minorHAnsi"/>
                <w:sz w:val="24"/>
                <w:szCs w:val="24"/>
                <w:highlight w:val="yellow"/>
              </w:rPr>
              <w:t>[do uzupełnienia]</w:t>
            </w:r>
          </w:p>
          <w:p w:rsidR="001A12CF" w:rsidRPr="00075175" w:rsidRDefault="001A12CF" w:rsidP="001A12CF">
            <w:pPr>
              <w:rPr>
                <w:rFonts w:asciiTheme="minorHAnsi" w:hAnsiTheme="minorHAnsi"/>
                <w:sz w:val="24"/>
                <w:szCs w:val="24"/>
              </w:rPr>
            </w:pPr>
          </w:p>
          <w:p w:rsidR="001A12CF" w:rsidRPr="00075175" w:rsidRDefault="001A12CF" w:rsidP="001A12CF">
            <w:pPr>
              <w:rPr>
                <w:rFonts w:asciiTheme="minorHAnsi" w:hAnsiTheme="minorHAnsi"/>
                <w:sz w:val="24"/>
                <w:szCs w:val="24"/>
              </w:rPr>
            </w:pPr>
          </w:p>
        </w:tc>
      </w:tr>
    </w:tbl>
    <w:p w:rsidR="001A12CF" w:rsidRPr="00075175" w:rsidRDefault="001A12CF">
      <w:pPr>
        <w:spacing w:after="200" w:line="276" w:lineRule="auto"/>
        <w:jc w:val="left"/>
        <w:rPr>
          <w:rFonts w:asciiTheme="minorHAnsi" w:hAnsiTheme="minorHAnsi"/>
          <w:sz w:val="24"/>
          <w:szCs w:val="24"/>
        </w:rPr>
      </w:pPr>
    </w:p>
    <w:sectPr w:rsidR="001A12CF" w:rsidRPr="00075175" w:rsidSect="00826F75">
      <w:headerReference w:type="default" r:id="rId10"/>
      <w:pgSz w:w="11906" w:h="16838"/>
      <w:pgMar w:top="1531" w:right="1134" w:bottom="1134" w:left="1134" w:header="340"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0E36" w:rsidRDefault="00EC0E36" w:rsidP="005501B5">
      <w:pPr>
        <w:spacing w:after="0"/>
      </w:pPr>
      <w:r>
        <w:separator/>
      </w:r>
    </w:p>
  </w:endnote>
  <w:endnote w:type="continuationSeparator" w:id="1">
    <w:p w:rsidR="00EC0E36" w:rsidRDefault="00EC0E36" w:rsidP="005501B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0E36" w:rsidRDefault="00EC0E36" w:rsidP="005501B5">
      <w:pPr>
        <w:spacing w:after="0"/>
      </w:pPr>
      <w:r>
        <w:separator/>
      </w:r>
    </w:p>
  </w:footnote>
  <w:footnote w:type="continuationSeparator" w:id="1">
    <w:p w:rsidR="00EC0E36" w:rsidRDefault="00EC0E36" w:rsidP="005501B5">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2CF" w:rsidRDefault="001A12CF">
    <w:pPr>
      <w:pStyle w:val="Nagwek"/>
    </w:pPr>
    <w:r>
      <w:rPr>
        <w:noProof/>
        <w:lang w:eastAsia="pl-PL"/>
      </w:rPr>
      <w:drawing>
        <wp:inline distT="0" distB="0" distL="0" distR="0">
          <wp:extent cx="5760720" cy="586740"/>
          <wp:effectExtent l="0" t="0" r="0" b="381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ew 05.jp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60720" cy="58674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13DA"/>
    <w:multiLevelType w:val="hybridMultilevel"/>
    <w:tmpl w:val="76A4E7DE"/>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nsid w:val="04DB71B0"/>
    <w:multiLevelType w:val="hybridMultilevel"/>
    <w:tmpl w:val="5756F97A"/>
    <w:lvl w:ilvl="0" w:tplc="88189F9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6B90F7B"/>
    <w:multiLevelType w:val="hybridMultilevel"/>
    <w:tmpl w:val="6D5CF4F4"/>
    <w:lvl w:ilvl="0" w:tplc="B4C69A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981449"/>
    <w:multiLevelType w:val="hybridMultilevel"/>
    <w:tmpl w:val="CD8E794A"/>
    <w:lvl w:ilvl="0" w:tplc="9182D042">
      <w:start w:val="1"/>
      <w:numFmt w:val="bullet"/>
      <w:lvlText w:val="•"/>
      <w:lvlJc w:val="left"/>
      <w:pPr>
        <w:tabs>
          <w:tab w:val="num" w:pos="720"/>
        </w:tabs>
        <w:ind w:left="720" w:hanging="360"/>
      </w:pPr>
      <w:rPr>
        <w:rFonts w:ascii="Arial" w:hAnsi="Arial" w:hint="default"/>
      </w:rPr>
    </w:lvl>
    <w:lvl w:ilvl="1" w:tplc="14FC822C">
      <w:start w:val="213"/>
      <w:numFmt w:val="bullet"/>
      <w:lvlText w:val="–"/>
      <w:lvlJc w:val="left"/>
      <w:pPr>
        <w:tabs>
          <w:tab w:val="num" w:pos="1440"/>
        </w:tabs>
        <w:ind w:left="1440" w:hanging="360"/>
      </w:pPr>
      <w:rPr>
        <w:rFonts w:ascii="Arial" w:hAnsi="Arial" w:hint="default"/>
      </w:rPr>
    </w:lvl>
    <w:lvl w:ilvl="2" w:tplc="32648904" w:tentative="1">
      <w:start w:val="1"/>
      <w:numFmt w:val="bullet"/>
      <w:lvlText w:val="•"/>
      <w:lvlJc w:val="left"/>
      <w:pPr>
        <w:tabs>
          <w:tab w:val="num" w:pos="2160"/>
        </w:tabs>
        <w:ind w:left="2160" w:hanging="360"/>
      </w:pPr>
      <w:rPr>
        <w:rFonts w:ascii="Arial" w:hAnsi="Arial" w:hint="default"/>
      </w:rPr>
    </w:lvl>
    <w:lvl w:ilvl="3" w:tplc="E8909FC6" w:tentative="1">
      <w:start w:val="1"/>
      <w:numFmt w:val="bullet"/>
      <w:lvlText w:val="•"/>
      <w:lvlJc w:val="left"/>
      <w:pPr>
        <w:tabs>
          <w:tab w:val="num" w:pos="2880"/>
        </w:tabs>
        <w:ind w:left="2880" w:hanging="360"/>
      </w:pPr>
      <w:rPr>
        <w:rFonts w:ascii="Arial" w:hAnsi="Arial" w:hint="default"/>
      </w:rPr>
    </w:lvl>
    <w:lvl w:ilvl="4" w:tplc="092ADF6A" w:tentative="1">
      <w:start w:val="1"/>
      <w:numFmt w:val="bullet"/>
      <w:lvlText w:val="•"/>
      <w:lvlJc w:val="left"/>
      <w:pPr>
        <w:tabs>
          <w:tab w:val="num" w:pos="3600"/>
        </w:tabs>
        <w:ind w:left="3600" w:hanging="360"/>
      </w:pPr>
      <w:rPr>
        <w:rFonts w:ascii="Arial" w:hAnsi="Arial" w:hint="default"/>
      </w:rPr>
    </w:lvl>
    <w:lvl w:ilvl="5" w:tplc="65CE29CE" w:tentative="1">
      <w:start w:val="1"/>
      <w:numFmt w:val="bullet"/>
      <w:lvlText w:val="•"/>
      <w:lvlJc w:val="left"/>
      <w:pPr>
        <w:tabs>
          <w:tab w:val="num" w:pos="4320"/>
        </w:tabs>
        <w:ind w:left="4320" w:hanging="360"/>
      </w:pPr>
      <w:rPr>
        <w:rFonts w:ascii="Arial" w:hAnsi="Arial" w:hint="default"/>
      </w:rPr>
    </w:lvl>
    <w:lvl w:ilvl="6" w:tplc="13F2A47E" w:tentative="1">
      <w:start w:val="1"/>
      <w:numFmt w:val="bullet"/>
      <w:lvlText w:val="•"/>
      <w:lvlJc w:val="left"/>
      <w:pPr>
        <w:tabs>
          <w:tab w:val="num" w:pos="5040"/>
        </w:tabs>
        <w:ind w:left="5040" w:hanging="360"/>
      </w:pPr>
      <w:rPr>
        <w:rFonts w:ascii="Arial" w:hAnsi="Arial" w:hint="default"/>
      </w:rPr>
    </w:lvl>
    <w:lvl w:ilvl="7" w:tplc="02AE159E" w:tentative="1">
      <w:start w:val="1"/>
      <w:numFmt w:val="bullet"/>
      <w:lvlText w:val="•"/>
      <w:lvlJc w:val="left"/>
      <w:pPr>
        <w:tabs>
          <w:tab w:val="num" w:pos="5760"/>
        </w:tabs>
        <w:ind w:left="5760" w:hanging="360"/>
      </w:pPr>
      <w:rPr>
        <w:rFonts w:ascii="Arial" w:hAnsi="Arial" w:hint="default"/>
      </w:rPr>
    </w:lvl>
    <w:lvl w:ilvl="8" w:tplc="9AE82DBA" w:tentative="1">
      <w:start w:val="1"/>
      <w:numFmt w:val="bullet"/>
      <w:lvlText w:val="•"/>
      <w:lvlJc w:val="left"/>
      <w:pPr>
        <w:tabs>
          <w:tab w:val="num" w:pos="6480"/>
        </w:tabs>
        <w:ind w:left="6480" w:hanging="360"/>
      </w:pPr>
      <w:rPr>
        <w:rFonts w:ascii="Arial" w:hAnsi="Arial" w:hint="default"/>
      </w:rPr>
    </w:lvl>
  </w:abstractNum>
  <w:abstractNum w:abstractNumId="4">
    <w:nsid w:val="0B0B4457"/>
    <w:multiLevelType w:val="hybridMultilevel"/>
    <w:tmpl w:val="FB2ECCC8"/>
    <w:lvl w:ilvl="0" w:tplc="A1829DA0">
      <w:start w:val="1"/>
      <w:numFmt w:val="decimal"/>
      <w:lvlText w:val="%1)"/>
      <w:lvlJc w:val="left"/>
      <w:pPr>
        <w:ind w:left="628" w:hanging="511"/>
      </w:pPr>
      <w:rPr>
        <w:rFonts w:ascii="Times New Roman" w:eastAsia="Times New Roman" w:hAnsi="Times New Roman" w:cs="Times New Roman" w:hint="default"/>
        <w:spacing w:val="-3"/>
        <w:w w:val="100"/>
        <w:sz w:val="24"/>
        <w:szCs w:val="24"/>
      </w:rPr>
    </w:lvl>
    <w:lvl w:ilvl="1" w:tplc="91FE5054">
      <w:start w:val="1"/>
      <w:numFmt w:val="bullet"/>
      <w:lvlText w:val="•"/>
      <w:lvlJc w:val="left"/>
      <w:pPr>
        <w:ind w:left="1486" w:hanging="511"/>
      </w:pPr>
      <w:rPr>
        <w:rFonts w:hint="default"/>
      </w:rPr>
    </w:lvl>
    <w:lvl w:ilvl="2" w:tplc="2A544FA0">
      <w:start w:val="1"/>
      <w:numFmt w:val="bullet"/>
      <w:lvlText w:val="•"/>
      <w:lvlJc w:val="left"/>
      <w:pPr>
        <w:ind w:left="2353" w:hanging="511"/>
      </w:pPr>
      <w:rPr>
        <w:rFonts w:hint="default"/>
      </w:rPr>
    </w:lvl>
    <w:lvl w:ilvl="3" w:tplc="17022F9A">
      <w:start w:val="1"/>
      <w:numFmt w:val="bullet"/>
      <w:lvlText w:val="•"/>
      <w:lvlJc w:val="left"/>
      <w:pPr>
        <w:ind w:left="3219" w:hanging="511"/>
      </w:pPr>
      <w:rPr>
        <w:rFonts w:hint="default"/>
      </w:rPr>
    </w:lvl>
    <w:lvl w:ilvl="4" w:tplc="8D184DF0">
      <w:start w:val="1"/>
      <w:numFmt w:val="bullet"/>
      <w:lvlText w:val="•"/>
      <w:lvlJc w:val="left"/>
      <w:pPr>
        <w:ind w:left="4086" w:hanging="511"/>
      </w:pPr>
      <w:rPr>
        <w:rFonts w:hint="default"/>
      </w:rPr>
    </w:lvl>
    <w:lvl w:ilvl="5" w:tplc="59405E74">
      <w:start w:val="1"/>
      <w:numFmt w:val="bullet"/>
      <w:lvlText w:val="•"/>
      <w:lvlJc w:val="left"/>
      <w:pPr>
        <w:ind w:left="4953" w:hanging="511"/>
      </w:pPr>
      <w:rPr>
        <w:rFonts w:hint="default"/>
      </w:rPr>
    </w:lvl>
    <w:lvl w:ilvl="6" w:tplc="FEEEBC34">
      <w:start w:val="1"/>
      <w:numFmt w:val="bullet"/>
      <w:lvlText w:val="•"/>
      <w:lvlJc w:val="left"/>
      <w:pPr>
        <w:ind w:left="5819" w:hanging="511"/>
      </w:pPr>
      <w:rPr>
        <w:rFonts w:hint="default"/>
      </w:rPr>
    </w:lvl>
    <w:lvl w:ilvl="7" w:tplc="9A1EE388">
      <w:start w:val="1"/>
      <w:numFmt w:val="bullet"/>
      <w:lvlText w:val="•"/>
      <w:lvlJc w:val="left"/>
      <w:pPr>
        <w:ind w:left="6686" w:hanging="511"/>
      </w:pPr>
      <w:rPr>
        <w:rFonts w:hint="default"/>
      </w:rPr>
    </w:lvl>
    <w:lvl w:ilvl="8" w:tplc="92DEBE2E">
      <w:start w:val="1"/>
      <w:numFmt w:val="bullet"/>
      <w:lvlText w:val="•"/>
      <w:lvlJc w:val="left"/>
      <w:pPr>
        <w:ind w:left="7553" w:hanging="511"/>
      </w:pPr>
      <w:rPr>
        <w:rFonts w:hint="default"/>
      </w:rPr>
    </w:lvl>
  </w:abstractNum>
  <w:abstractNum w:abstractNumId="5">
    <w:nsid w:val="0E475D15"/>
    <w:multiLevelType w:val="hybridMultilevel"/>
    <w:tmpl w:val="8FBA7736"/>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0F950B4A"/>
    <w:multiLevelType w:val="hybridMultilevel"/>
    <w:tmpl w:val="6D5CF4F4"/>
    <w:lvl w:ilvl="0" w:tplc="B4C69A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7530632"/>
    <w:multiLevelType w:val="hybridMultilevel"/>
    <w:tmpl w:val="C2ACE2D2"/>
    <w:lvl w:ilvl="0" w:tplc="D74058E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8EA0645"/>
    <w:multiLevelType w:val="hybridMultilevel"/>
    <w:tmpl w:val="89A87A26"/>
    <w:lvl w:ilvl="0" w:tplc="A288B56E">
      <w:start w:val="1"/>
      <w:numFmt w:val="bullet"/>
      <w:lvlText w:val="•"/>
      <w:lvlJc w:val="left"/>
      <w:pPr>
        <w:tabs>
          <w:tab w:val="num" w:pos="720"/>
        </w:tabs>
        <w:ind w:left="720" w:hanging="360"/>
      </w:pPr>
      <w:rPr>
        <w:rFonts w:ascii="Arial" w:hAnsi="Arial" w:hint="default"/>
      </w:rPr>
    </w:lvl>
    <w:lvl w:ilvl="1" w:tplc="B0DC8152">
      <w:start w:val="213"/>
      <w:numFmt w:val="bullet"/>
      <w:lvlText w:val="–"/>
      <w:lvlJc w:val="left"/>
      <w:pPr>
        <w:tabs>
          <w:tab w:val="num" w:pos="1440"/>
        </w:tabs>
        <w:ind w:left="1440" w:hanging="360"/>
      </w:pPr>
      <w:rPr>
        <w:rFonts w:ascii="Arial" w:hAnsi="Arial" w:hint="default"/>
      </w:rPr>
    </w:lvl>
    <w:lvl w:ilvl="2" w:tplc="96E45480" w:tentative="1">
      <w:start w:val="1"/>
      <w:numFmt w:val="bullet"/>
      <w:lvlText w:val="•"/>
      <w:lvlJc w:val="left"/>
      <w:pPr>
        <w:tabs>
          <w:tab w:val="num" w:pos="2160"/>
        </w:tabs>
        <w:ind w:left="2160" w:hanging="360"/>
      </w:pPr>
      <w:rPr>
        <w:rFonts w:ascii="Arial" w:hAnsi="Arial" w:hint="default"/>
      </w:rPr>
    </w:lvl>
    <w:lvl w:ilvl="3" w:tplc="2FDA37EC" w:tentative="1">
      <w:start w:val="1"/>
      <w:numFmt w:val="bullet"/>
      <w:lvlText w:val="•"/>
      <w:lvlJc w:val="left"/>
      <w:pPr>
        <w:tabs>
          <w:tab w:val="num" w:pos="2880"/>
        </w:tabs>
        <w:ind w:left="2880" w:hanging="360"/>
      </w:pPr>
      <w:rPr>
        <w:rFonts w:ascii="Arial" w:hAnsi="Arial" w:hint="default"/>
      </w:rPr>
    </w:lvl>
    <w:lvl w:ilvl="4" w:tplc="B6489BAE" w:tentative="1">
      <w:start w:val="1"/>
      <w:numFmt w:val="bullet"/>
      <w:lvlText w:val="•"/>
      <w:lvlJc w:val="left"/>
      <w:pPr>
        <w:tabs>
          <w:tab w:val="num" w:pos="3600"/>
        </w:tabs>
        <w:ind w:left="3600" w:hanging="360"/>
      </w:pPr>
      <w:rPr>
        <w:rFonts w:ascii="Arial" w:hAnsi="Arial" w:hint="default"/>
      </w:rPr>
    </w:lvl>
    <w:lvl w:ilvl="5" w:tplc="0AB2C10E" w:tentative="1">
      <w:start w:val="1"/>
      <w:numFmt w:val="bullet"/>
      <w:lvlText w:val="•"/>
      <w:lvlJc w:val="left"/>
      <w:pPr>
        <w:tabs>
          <w:tab w:val="num" w:pos="4320"/>
        </w:tabs>
        <w:ind w:left="4320" w:hanging="360"/>
      </w:pPr>
      <w:rPr>
        <w:rFonts w:ascii="Arial" w:hAnsi="Arial" w:hint="default"/>
      </w:rPr>
    </w:lvl>
    <w:lvl w:ilvl="6" w:tplc="B5C4A8E8" w:tentative="1">
      <w:start w:val="1"/>
      <w:numFmt w:val="bullet"/>
      <w:lvlText w:val="•"/>
      <w:lvlJc w:val="left"/>
      <w:pPr>
        <w:tabs>
          <w:tab w:val="num" w:pos="5040"/>
        </w:tabs>
        <w:ind w:left="5040" w:hanging="360"/>
      </w:pPr>
      <w:rPr>
        <w:rFonts w:ascii="Arial" w:hAnsi="Arial" w:hint="default"/>
      </w:rPr>
    </w:lvl>
    <w:lvl w:ilvl="7" w:tplc="554A8812" w:tentative="1">
      <w:start w:val="1"/>
      <w:numFmt w:val="bullet"/>
      <w:lvlText w:val="•"/>
      <w:lvlJc w:val="left"/>
      <w:pPr>
        <w:tabs>
          <w:tab w:val="num" w:pos="5760"/>
        </w:tabs>
        <w:ind w:left="5760" w:hanging="360"/>
      </w:pPr>
      <w:rPr>
        <w:rFonts w:ascii="Arial" w:hAnsi="Arial" w:hint="default"/>
      </w:rPr>
    </w:lvl>
    <w:lvl w:ilvl="8" w:tplc="8FDA1692" w:tentative="1">
      <w:start w:val="1"/>
      <w:numFmt w:val="bullet"/>
      <w:lvlText w:val="•"/>
      <w:lvlJc w:val="left"/>
      <w:pPr>
        <w:tabs>
          <w:tab w:val="num" w:pos="6480"/>
        </w:tabs>
        <w:ind w:left="6480" w:hanging="360"/>
      </w:pPr>
      <w:rPr>
        <w:rFonts w:ascii="Arial" w:hAnsi="Arial" w:hint="default"/>
      </w:rPr>
    </w:lvl>
  </w:abstractNum>
  <w:abstractNum w:abstractNumId="9">
    <w:nsid w:val="1BF673FE"/>
    <w:multiLevelType w:val="hybridMultilevel"/>
    <w:tmpl w:val="6D5CF4F4"/>
    <w:lvl w:ilvl="0" w:tplc="B4C69A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A924FA"/>
    <w:multiLevelType w:val="hybridMultilevel"/>
    <w:tmpl w:val="A03EF172"/>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nsid w:val="1D2B3DE7"/>
    <w:multiLevelType w:val="hybridMultilevel"/>
    <w:tmpl w:val="1EC49B6E"/>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1D9F0D05"/>
    <w:multiLevelType w:val="hybridMultilevel"/>
    <w:tmpl w:val="4B546294"/>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1E914533"/>
    <w:multiLevelType w:val="hybridMultilevel"/>
    <w:tmpl w:val="E844F990"/>
    <w:lvl w:ilvl="0" w:tplc="8FB6BC84">
      <w:start w:val="2"/>
      <w:numFmt w:val="decimal"/>
      <w:lvlText w:val="%1."/>
      <w:lvlJc w:val="left"/>
      <w:pPr>
        <w:ind w:left="118" w:hanging="251"/>
      </w:pPr>
      <w:rPr>
        <w:rFonts w:ascii="Times New Roman" w:eastAsia="Times New Roman" w:hAnsi="Times New Roman" w:cs="Times New Roman" w:hint="default"/>
        <w:w w:val="100"/>
        <w:sz w:val="24"/>
        <w:szCs w:val="24"/>
      </w:rPr>
    </w:lvl>
    <w:lvl w:ilvl="1" w:tplc="8AD48922">
      <w:start w:val="1"/>
      <w:numFmt w:val="bullet"/>
      <w:lvlText w:val="•"/>
      <w:lvlJc w:val="left"/>
      <w:pPr>
        <w:ind w:left="1036" w:hanging="251"/>
      </w:pPr>
      <w:rPr>
        <w:rFonts w:hint="default"/>
      </w:rPr>
    </w:lvl>
    <w:lvl w:ilvl="2" w:tplc="5330BA18">
      <w:start w:val="1"/>
      <w:numFmt w:val="bullet"/>
      <w:lvlText w:val="•"/>
      <w:lvlJc w:val="left"/>
      <w:pPr>
        <w:ind w:left="1953" w:hanging="251"/>
      </w:pPr>
      <w:rPr>
        <w:rFonts w:hint="default"/>
      </w:rPr>
    </w:lvl>
    <w:lvl w:ilvl="3" w:tplc="DAA8F10C">
      <w:start w:val="1"/>
      <w:numFmt w:val="bullet"/>
      <w:lvlText w:val="•"/>
      <w:lvlJc w:val="left"/>
      <w:pPr>
        <w:ind w:left="2869" w:hanging="251"/>
      </w:pPr>
      <w:rPr>
        <w:rFonts w:hint="default"/>
      </w:rPr>
    </w:lvl>
    <w:lvl w:ilvl="4" w:tplc="DDF45D6A">
      <w:start w:val="1"/>
      <w:numFmt w:val="bullet"/>
      <w:lvlText w:val="•"/>
      <w:lvlJc w:val="left"/>
      <w:pPr>
        <w:ind w:left="3786" w:hanging="251"/>
      </w:pPr>
      <w:rPr>
        <w:rFonts w:hint="default"/>
      </w:rPr>
    </w:lvl>
    <w:lvl w:ilvl="5" w:tplc="1E482B84">
      <w:start w:val="1"/>
      <w:numFmt w:val="bullet"/>
      <w:lvlText w:val="•"/>
      <w:lvlJc w:val="left"/>
      <w:pPr>
        <w:ind w:left="4703" w:hanging="251"/>
      </w:pPr>
      <w:rPr>
        <w:rFonts w:hint="default"/>
      </w:rPr>
    </w:lvl>
    <w:lvl w:ilvl="6" w:tplc="E7DC9444">
      <w:start w:val="1"/>
      <w:numFmt w:val="bullet"/>
      <w:lvlText w:val="•"/>
      <w:lvlJc w:val="left"/>
      <w:pPr>
        <w:ind w:left="5619" w:hanging="251"/>
      </w:pPr>
      <w:rPr>
        <w:rFonts w:hint="default"/>
      </w:rPr>
    </w:lvl>
    <w:lvl w:ilvl="7" w:tplc="85BACF7C">
      <w:start w:val="1"/>
      <w:numFmt w:val="bullet"/>
      <w:lvlText w:val="•"/>
      <w:lvlJc w:val="left"/>
      <w:pPr>
        <w:ind w:left="6536" w:hanging="251"/>
      </w:pPr>
      <w:rPr>
        <w:rFonts w:hint="default"/>
      </w:rPr>
    </w:lvl>
    <w:lvl w:ilvl="8" w:tplc="7A8A81E8">
      <w:start w:val="1"/>
      <w:numFmt w:val="bullet"/>
      <w:lvlText w:val="•"/>
      <w:lvlJc w:val="left"/>
      <w:pPr>
        <w:ind w:left="7453" w:hanging="251"/>
      </w:pPr>
      <w:rPr>
        <w:rFonts w:hint="default"/>
      </w:rPr>
    </w:lvl>
  </w:abstractNum>
  <w:abstractNum w:abstractNumId="14">
    <w:nsid w:val="1F874581"/>
    <w:multiLevelType w:val="hybridMultilevel"/>
    <w:tmpl w:val="6D5CF4F4"/>
    <w:lvl w:ilvl="0" w:tplc="B4C69A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38C5B91"/>
    <w:multiLevelType w:val="hybridMultilevel"/>
    <w:tmpl w:val="6D5CF4F4"/>
    <w:lvl w:ilvl="0" w:tplc="B4C69A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5DD5476"/>
    <w:multiLevelType w:val="hybridMultilevel"/>
    <w:tmpl w:val="EC645190"/>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nsid w:val="27AF2798"/>
    <w:multiLevelType w:val="hybridMultilevel"/>
    <w:tmpl w:val="6D5CF4F4"/>
    <w:lvl w:ilvl="0" w:tplc="B4C69A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9D2232F"/>
    <w:multiLevelType w:val="hybridMultilevel"/>
    <w:tmpl w:val="EFF051DE"/>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nsid w:val="2CD815F9"/>
    <w:multiLevelType w:val="hybridMultilevel"/>
    <w:tmpl w:val="6D5CF4F4"/>
    <w:lvl w:ilvl="0" w:tplc="B4C69A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1501826"/>
    <w:multiLevelType w:val="hybridMultilevel"/>
    <w:tmpl w:val="6D5CF4F4"/>
    <w:lvl w:ilvl="0" w:tplc="B4C69A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23253C0"/>
    <w:multiLevelType w:val="hybridMultilevel"/>
    <w:tmpl w:val="740EAA06"/>
    <w:lvl w:ilvl="0" w:tplc="B3AC79E0">
      <w:start w:val="1"/>
      <w:numFmt w:val="bullet"/>
      <w:lvlText w:val="-"/>
      <w:lvlJc w:val="left"/>
      <w:pPr>
        <w:tabs>
          <w:tab w:val="num" w:pos="720"/>
        </w:tabs>
        <w:ind w:left="720" w:hanging="360"/>
      </w:pPr>
      <w:rPr>
        <w:rFonts w:ascii="Arial" w:hAnsi="Arial" w:hint="default"/>
      </w:rPr>
    </w:lvl>
    <w:lvl w:ilvl="1" w:tplc="B1EAF86A">
      <w:start w:val="213"/>
      <w:numFmt w:val="bullet"/>
      <w:lvlText w:val="–"/>
      <w:lvlJc w:val="left"/>
      <w:pPr>
        <w:tabs>
          <w:tab w:val="num" w:pos="1440"/>
        </w:tabs>
        <w:ind w:left="1440" w:hanging="360"/>
      </w:pPr>
      <w:rPr>
        <w:rFonts w:ascii="Arial" w:hAnsi="Arial" w:hint="default"/>
      </w:rPr>
    </w:lvl>
    <w:lvl w:ilvl="2" w:tplc="7F0C9722" w:tentative="1">
      <w:start w:val="1"/>
      <w:numFmt w:val="bullet"/>
      <w:lvlText w:val="•"/>
      <w:lvlJc w:val="left"/>
      <w:pPr>
        <w:tabs>
          <w:tab w:val="num" w:pos="2160"/>
        </w:tabs>
        <w:ind w:left="2160" w:hanging="360"/>
      </w:pPr>
      <w:rPr>
        <w:rFonts w:ascii="Arial" w:hAnsi="Arial" w:hint="default"/>
      </w:rPr>
    </w:lvl>
    <w:lvl w:ilvl="3" w:tplc="849CF0D4" w:tentative="1">
      <w:start w:val="1"/>
      <w:numFmt w:val="bullet"/>
      <w:lvlText w:val="•"/>
      <w:lvlJc w:val="left"/>
      <w:pPr>
        <w:tabs>
          <w:tab w:val="num" w:pos="2880"/>
        </w:tabs>
        <w:ind w:left="2880" w:hanging="360"/>
      </w:pPr>
      <w:rPr>
        <w:rFonts w:ascii="Arial" w:hAnsi="Arial" w:hint="default"/>
      </w:rPr>
    </w:lvl>
    <w:lvl w:ilvl="4" w:tplc="7A0800E2" w:tentative="1">
      <w:start w:val="1"/>
      <w:numFmt w:val="bullet"/>
      <w:lvlText w:val="•"/>
      <w:lvlJc w:val="left"/>
      <w:pPr>
        <w:tabs>
          <w:tab w:val="num" w:pos="3600"/>
        </w:tabs>
        <w:ind w:left="3600" w:hanging="360"/>
      </w:pPr>
      <w:rPr>
        <w:rFonts w:ascii="Arial" w:hAnsi="Arial" w:hint="default"/>
      </w:rPr>
    </w:lvl>
    <w:lvl w:ilvl="5" w:tplc="1EBC746A" w:tentative="1">
      <w:start w:val="1"/>
      <w:numFmt w:val="bullet"/>
      <w:lvlText w:val="•"/>
      <w:lvlJc w:val="left"/>
      <w:pPr>
        <w:tabs>
          <w:tab w:val="num" w:pos="4320"/>
        </w:tabs>
        <w:ind w:left="4320" w:hanging="360"/>
      </w:pPr>
      <w:rPr>
        <w:rFonts w:ascii="Arial" w:hAnsi="Arial" w:hint="default"/>
      </w:rPr>
    </w:lvl>
    <w:lvl w:ilvl="6" w:tplc="91747E20" w:tentative="1">
      <w:start w:val="1"/>
      <w:numFmt w:val="bullet"/>
      <w:lvlText w:val="•"/>
      <w:lvlJc w:val="left"/>
      <w:pPr>
        <w:tabs>
          <w:tab w:val="num" w:pos="5040"/>
        </w:tabs>
        <w:ind w:left="5040" w:hanging="360"/>
      </w:pPr>
      <w:rPr>
        <w:rFonts w:ascii="Arial" w:hAnsi="Arial" w:hint="default"/>
      </w:rPr>
    </w:lvl>
    <w:lvl w:ilvl="7" w:tplc="24AAD14C" w:tentative="1">
      <w:start w:val="1"/>
      <w:numFmt w:val="bullet"/>
      <w:lvlText w:val="•"/>
      <w:lvlJc w:val="left"/>
      <w:pPr>
        <w:tabs>
          <w:tab w:val="num" w:pos="5760"/>
        </w:tabs>
        <w:ind w:left="5760" w:hanging="360"/>
      </w:pPr>
      <w:rPr>
        <w:rFonts w:ascii="Arial" w:hAnsi="Arial" w:hint="default"/>
      </w:rPr>
    </w:lvl>
    <w:lvl w:ilvl="8" w:tplc="0302BEA0" w:tentative="1">
      <w:start w:val="1"/>
      <w:numFmt w:val="bullet"/>
      <w:lvlText w:val="•"/>
      <w:lvlJc w:val="left"/>
      <w:pPr>
        <w:tabs>
          <w:tab w:val="num" w:pos="6480"/>
        </w:tabs>
        <w:ind w:left="6480" w:hanging="360"/>
      </w:pPr>
      <w:rPr>
        <w:rFonts w:ascii="Arial" w:hAnsi="Arial" w:hint="default"/>
      </w:rPr>
    </w:lvl>
  </w:abstractNum>
  <w:abstractNum w:abstractNumId="22">
    <w:nsid w:val="37173749"/>
    <w:multiLevelType w:val="hybridMultilevel"/>
    <w:tmpl w:val="6D5CF4F4"/>
    <w:lvl w:ilvl="0" w:tplc="B4C69A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8CF23AF"/>
    <w:multiLevelType w:val="hybridMultilevel"/>
    <w:tmpl w:val="6D5CF4F4"/>
    <w:lvl w:ilvl="0" w:tplc="B4C69A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2AE45EB"/>
    <w:multiLevelType w:val="hybridMultilevel"/>
    <w:tmpl w:val="19DC6888"/>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nsid w:val="4A096DE2"/>
    <w:multiLevelType w:val="hybridMultilevel"/>
    <w:tmpl w:val="9CD41630"/>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nsid w:val="57B86336"/>
    <w:multiLevelType w:val="hybridMultilevel"/>
    <w:tmpl w:val="DB480430"/>
    <w:lvl w:ilvl="0" w:tplc="06BA63DE">
      <w:start w:val="1"/>
      <w:numFmt w:val="bullet"/>
      <w:lvlText w:val="•"/>
      <w:lvlJc w:val="left"/>
      <w:pPr>
        <w:tabs>
          <w:tab w:val="num" w:pos="720"/>
        </w:tabs>
        <w:ind w:left="720" w:hanging="360"/>
      </w:pPr>
      <w:rPr>
        <w:rFonts w:ascii="Arial" w:hAnsi="Arial" w:hint="default"/>
      </w:rPr>
    </w:lvl>
    <w:lvl w:ilvl="1" w:tplc="B1EAF86A">
      <w:start w:val="213"/>
      <w:numFmt w:val="bullet"/>
      <w:lvlText w:val="–"/>
      <w:lvlJc w:val="left"/>
      <w:pPr>
        <w:tabs>
          <w:tab w:val="num" w:pos="1440"/>
        </w:tabs>
        <w:ind w:left="1440" w:hanging="360"/>
      </w:pPr>
      <w:rPr>
        <w:rFonts w:ascii="Arial" w:hAnsi="Arial" w:hint="default"/>
      </w:rPr>
    </w:lvl>
    <w:lvl w:ilvl="2" w:tplc="7F0C9722" w:tentative="1">
      <w:start w:val="1"/>
      <w:numFmt w:val="bullet"/>
      <w:lvlText w:val="•"/>
      <w:lvlJc w:val="left"/>
      <w:pPr>
        <w:tabs>
          <w:tab w:val="num" w:pos="2160"/>
        </w:tabs>
        <w:ind w:left="2160" w:hanging="360"/>
      </w:pPr>
      <w:rPr>
        <w:rFonts w:ascii="Arial" w:hAnsi="Arial" w:hint="default"/>
      </w:rPr>
    </w:lvl>
    <w:lvl w:ilvl="3" w:tplc="849CF0D4" w:tentative="1">
      <w:start w:val="1"/>
      <w:numFmt w:val="bullet"/>
      <w:lvlText w:val="•"/>
      <w:lvlJc w:val="left"/>
      <w:pPr>
        <w:tabs>
          <w:tab w:val="num" w:pos="2880"/>
        </w:tabs>
        <w:ind w:left="2880" w:hanging="360"/>
      </w:pPr>
      <w:rPr>
        <w:rFonts w:ascii="Arial" w:hAnsi="Arial" w:hint="default"/>
      </w:rPr>
    </w:lvl>
    <w:lvl w:ilvl="4" w:tplc="7A0800E2" w:tentative="1">
      <w:start w:val="1"/>
      <w:numFmt w:val="bullet"/>
      <w:lvlText w:val="•"/>
      <w:lvlJc w:val="left"/>
      <w:pPr>
        <w:tabs>
          <w:tab w:val="num" w:pos="3600"/>
        </w:tabs>
        <w:ind w:left="3600" w:hanging="360"/>
      </w:pPr>
      <w:rPr>
        <w:rFonts w:ascii="Arial" w:hAnsi="Arial" w:hint="default"/>
      </w:rPr>
    </w:lvl>
    <w:lvl w:ilvl="5" w:tplc="1EBC746A" w:tentative="1">
      <w:start w:val="1"/>
      <w:numFmt w:val="bullet"/>
      <w:lvlText w:val="•"/>
      <w:lvlJc w:val="left"/>
      <w:pPr>
        <w:tabs>
          <w:tab w:val="num" w:pos="4320"/>
        </w:tabs>
        <w:ind w:left="4320" w:hanging="360"/>
      </w:pPr>
      <w:rPr>
        <w:rFonts w:ascii="Arial" w:hAnsi="Arial" w:hint="default"/>
      </w:rPr>
    </w:lvl>
    <w:lvl w:ilvl="6" w:tplc="91747E20" w:tentative="1">
      <w:start w:val="1"/>
      <w:numFmt w:val="bullet"/>
      <w:lvlText w:val="•"/>
      <w:lvlJc w:val="left"/>
      <w:pPr>
        <w:tabs>
          <w:tab w:val="num" w:pos="5040"/>
        </w:tabs>
        <w:ind w:left="5040" w:hanging="360"/>
      </w:pPr>
      <w:rPr>
        <w:rFonts w:ascii="Arial" w:hAnsi="Arial" w:hint="default"/>
      </w:rPr>
    </w:lvl>
    <w:lvl w:ilvl="7" w:tplc="24AAD14C" w:tentative="1">
      <w:start w:val="1"/>
      <w:numFmt w:val="bullet"/>
      <w:lvlText w:val="•"/>
      <w:lvlJc w:val="left"/>
      <w:pPr>
        <w:tabs>
          <w:tab w:val="num" w:pos="5760"/>
        </w:tabs>
        <w:ind w:left="5760" w:hanging="360"/>
      </w:pPr>
      <w:rPr>
        <w:rFonts w:ascii="Arial" w:hAnsi="Arial" w:hint="default"/>
      </w:rPr>
    </w:lvl>
    <w:lvl w:ilvl="8" w:tplc="0302BEA0" w:tentative="1">
      <w:start w:val="1"/>
      <w:numFmt w:val="bullet"/>
      <w:lvlText w:val="•"/>
      <w:lvlJc w:val="left"/>
      <w:pPr>
        <w:tabs>
          <w:tab w:val="num" w:pos="6480"/>
        </w:tabs>
        <w:ind w:left="6480" w:hanging="360"/>
      </w:pPr>
      <w:rPr>
        <w:rFonts w:ascii="Arial" w:hAnsi="Arial" w:hint="default"/>
      </w:rPr>
    </w:lvl>
  </w:abstractNum>
  <w:abstractNum w:abstractNumId="27">
    <w:nsid w:val="5CCD7A49"/>
    <w:multiLevelType w:val="hybridMultilevel"/>
    <w:tmpl w:val="40DC9A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07F424E"/>
    <w:multiLevelType w:val="hybridMultilevel"/>
    <w:tmpl w:val="E362CECA"/>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nsid w:val="644A412D"/>
    <w:multiLevelType w:val="hybridMultilevel"/>
    <w:tmpl w:val="3C3E69D4"/>
    <w:lvl w:ilvl="0" w:tplc="0E1A5DE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08A1E9F"/>
    <w:multiLevelType w:val="hybridMultilevel"/>
    <w:tmpl w:val="C82831FA"/>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nsid w:val="70CB76DD"/>
    <w:multiLevelType w:val="hybridMultilevel"/>
    <w:tmpl w:val="C73AA0B6"/>
    <w:lvl w:ilvl="0" w:tplc="8B6AE17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753C4FEB"/>
    <w:multiLevelType w:val="hybridMultilevel"/>
    <w:tmpl w:val="32740824"/>
    <w:lvl w:ilvl="0" w:tplc="9B6E713C">
      <w:start w:val="1"/>
      <w:numFmt w:val="decimal"/>
      <w:pStyle w:val="Spistreci1"/>
      <w:lvlText w:val="%1."/>
      <w:lvlJc w:val="left"/>
      <w:pPr>
        <w:ind w:left="6" w:hanging="360"/>
      </w:pPr>
    </w:lvl>
    <w:lvl w:ilvl="1" w:tplc="04150019" w:tentative="1">
      <w:start w:val="1"/>
      <w:numFmt w:val="lowerLetter"/>
      <w:lvlText w:val="%2."/>
      <w:lvlJc w:val="left"/>
      <w:pPr>
        <w:ind w:left="726" w:hanging="360"/>
      </w:pPr>
    </w:lvl>
    <w:lvl w:ilvl="2" w:tplc="0415001B" w:tentative="1">
      <w:start w:val="1"/>
      <w:numFmt w:val="lowerRoman"/>
      <w:lvlText w:val="%3."/>
      <w:lvlJc w:val="right"/>
      <w:pPr>
        <w:ind w:left="1446" w:hanging="180"/>
      </w:pPr>
    </w:lvl>
    <w:lvl w:ilvl="3" w:tplc="0415000F" w:tentative="1">
      <w:start w:val="1"/>
      <w:numFmt w:val="decimal"/>
      <w:lvlText w:val="%4."/>
      <w:lvlJc w:val="left"/>
      <w:pPr>
        <w:ind w:left="2166" w:hanging="360"/>
      </w:pPr>
    </w:lvl>
    <w:lvl w:ilvl="4" w:tplc="04150019" w:tentative="1">
      <w:start w:val="1"/>
      <w:numFmt w:val="lowerLetter"/>
      <w:lvlText w:val="%5."/>
      <w:lvlJc w:val="left"/>
      <w:pPr>
        <w:ind w:left="2886" w:hanging="360"/>
      </w:pPr>
    </w:lvl>
    <w:lvl w:ilvl="5" w:tplc="0415001B" w:tentative="1">
      <w:start w:val="1"/>
      <w:numFmt w:val="lowerRoman"/>
      <w:lvlText w:val="%6."/>
      <w:lvlJc w:val="right"/>
      <w:pPr>
        <w:ind w:left="3606" w:hanging="180"/>
      </w:pPr>
    </w:lvl>
    <w:lvl w:ilvl="6" w:tplc="0415000F" w:tentative="1">
      <w:start w:val="1"/>
      <w:numFmt w:val="decimal"/>
      <w:lvlText w:val="%7."/>
      <w:lvlJc w:val="left"/>
      <w:pPr>
        <w:ind w:left="4326" w:hanging="360"/>
      </w:pPr>
    </w:lvl>
    <w:lvl w:ilvl="7" w:tplc="04150019" w:tentative="1">
      <w:start w:val="1"/>
      <w:numFmt w:val="lowerLetter"/>
      <w:lvlText w:val="%8."/>
      <w:lvlJc w:val="left"/>
      <w:pPr>
        <w:ind w:left="5046" w:hanging="360"/>
      </w:pPr>
    </w:lvl>
    <w:lvl w:ilvl="8" w:tplc="0415001B" w:tentative="1">
      <w:start w:val="1"/>
      <w:numFmt w:val="lowerRoman"/>
      <w:lvlText w:val="%9."/>
      <w:lvlJc w:val="right"/>
      <w:pPr>
        <w:ind w:left="5766" w:hanging="180"/>
      </w:pPr>
    </w:lvl>
  </w:abstractNum>
  <w:abstractNum w:abstractNumId="33">
    <w:nsid w:val="77332C46"/>
    <w:multiLevelType w:val="hybridMultilevel"/>
    <w:tmpl w:val="592C5630"/>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nsid w:val="7A1A038F"/>
    <w:multiLevelType w:val="hybridMultilevel"/>
    <w:tmpl w:val="66DC8B8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7DB734BD"/>
    <w:multiLevelType w:val="hybridMultilevel"/>
    <w:tmpl w:val="D86EABCC"/>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6"/>
  </w:num>
  <w:num w:numId="2">
    <w:abstractNumId w:val="3"/>
  </w:num>
  <w:num w:numId="3">
    <w:abstractNumId w:val="8"/>
  </w:num>
  <w:num w:numId="4">
    <w:abstractNumId w:val="21"/>
  </w:num>
  <w:num w:numId="5">
    <w:abstractNumId w:val="1"/>
  </w:num>
  <w:num w:numId="6">
    <w:abstractNumId w:val="31"/>
  </w:num>
  <w:num w:numId="7">
    <w:abstractNumId w:val="34"/>
  </w:num>
  <w:num w:numId="8">
    <w:abstractNumId w:val="0"/>
  </w:num>
  <w:num w:numId="9">
    <w:abstractNumId w:val="13"/>
  </w:num>
  <w:num w:numId="10">
    <w:abstractNumId w:val="4"/>
  </w:num>
  <w:num w:numId="11">
    <w:abstractNumId w:val="18"/>
  </w:num>
  <w:num w:numId="12">
    <w:abstractNumId w:val="11"/>
  </w:num>
  <w:num w:numId="13">
    <w:abstractNumId w:val="5"/>
  </w:num>
  <w:num w:numId="14">
    <w:abstractNumId w:val="28"/>
  </w:num>
  <w:num w:numId="15">
    <w:abstractNumId w:val="16"/>
  </w:num>
  <w:num w:numId="16">
    <w:abstractNumId w:val="24"/>
  </w:num>
  <w:num w:numId="17">
    <w:abstractNumId w:val="33"/>
  </w:num>
  <w:num w:numId="18">
    <w:abstractNumId w:val="35"/>
  </w:num>
  <w:num w:numId="19">
    <w:abstractNumId w:val="25"/>
  </w:num>
  <w:num w:numId="20">
    <w:abstractNumId w:val="30"/>
  </w:num>
  <w:num w:numId="21">
    <w:abstractNumId w:val="10"/>
  </w:num>
  <w:num w:numId="22">
    <w:abstractNumId w:val="12"/>
  </w:num>
  <w:num w:numId="23">
    <w:abstractNumId w:val="27"/>
  </w:num>
  <w:num w:numId="24">
    <w:abstractNumId w:val="32"/>
  </w:num>
  <w:num w:numId="25">
    <w:abstractNumId w:val="9"/>
  </w:num>
  <w:num w:numId="26">
    <w:abstractNumId w:val="29"/>
  </w:num>
  <w:num w:numId="27">
    <w:abstractNumId w:val="7"/>
  </w:num>
  <w:num w:numId="28">
    <w:abstractNumId w:val="20"/>
  </w:num>
  <w:num w:numId="29">
    <w:abstractNumId w:val="17"/>
  </w:num>
  <w:num w:numId="30">
    <w:abstractNumId w:val="22"/>
  </w:num>
  <w:num w:numId="31">
    <w:abstractNumId w:val="19"/>
  </w:num>
  <w:num w:numId="32">
    <w:abstractNumId w:val="15"/>
  </w:num>
  <w:num w:numId="33">
    <w:abstractNumId w:val="14"/>
  </w:num>
  <w:num w:numId="34">
    <w:abstractNumId w:val="23"/>
  </w:num>
  <w:num w:numId="35">
    <w:abstractNumId w:val="6"/>
  </w:num>
  <w:num w:numId="3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characterSpacingControl w:val="doNotCompress"/>
  <w:hdrShapeDefaults>
    <o:shapedefaults v:ext="edit" spidmax="11266"/>
  </w:hdrShapeDefaults>
  <w:footnotePr>
    <w:footnote w:id="0"/>
    <w:footnote w:id="1"/>
  </w:footnotePr>
  <w:endnotePr>
    <w:endnote w:id="0"/>
    <w:endnote w:id="1"/>
  </w:endnotePr>
  <w:compat/>
  <w:rsids>
    <w:rsidRoot w:val="005501B5"/>
    <w:rsid w:val="00010DCB"/>
    <w:rsid w:val="00047D5C"/>
    <w:rsid w:val="00060A5B"/>
    <w:rsid w:val="00075175"/>
    <w:rsid w:val="000A5B99"/>
    <w:rsid w:val="000E38A4"/>
    <w:rsid w:val="000E7E5B"/>
    <w:rsid w:val="00110074"/>
    <w:rsid w:val="00165C51"/>
    <w:rsid w:val="00180D62"/>
    <w:rsid w:val="001A12CF"/>
    <w:rsid w:val="001C5C62"/>
    <w:rsid w:val="001D69FC"/>
    <w:rsid w:val="001F42D4"/>
    <w:rsid w:val="00220555"/>
    <w:rsid w:val="00225D72"/>
    <w:rsid w:val="0026405C"/>
    <w:rsid w:val="0026415B"/>
    <w:rsid w:val="0028590F"/>
    <w:rsid w:val="00293D5E"/>
    <w:rsid w:val="002C5FBA"/>
    <w:rsid w:val="002F0643"/>
    <w:rsid w:val="00344F62"/>
    <w:rsid w:val="0038516F"/>
    <w:rsid w:val="003E0334"/>
    <w:rsid w:val="00402AB7"/>
    <w:rsid w:val="00433981"/>
    <w:rsid w:val="00482F08"/>
    <w:rsid w:val="00512958"/>
    <w:rsid w:val="005501B5"/>
    <w:rsid w:val="00575901"/>
    <w:rsid w:val="0060508B"/>
    <w:rsid w:val="00612C39"/>
    <w:rsid w:val="00645008"/>
    <w:rsid w:val="006B396D"/>
    <w:rsid w:val="006D671D"/>
    <w:rsid w:val="006D6B90"/>
    <w:rsid w:val="006F3CF6"/>
    <w:rsid w:val="00712D96"/>
    <w:rsid w:val="00766D0A"/>
    <w:rsid w:val="0077168E"/>
    <w:rsid w:val="007720D7"/>
    <w:rsid w:val="00784149"/>
    <w:rsid w:val="008058EC"/>
    <w:rsid w:val="00826F75"/>
    <w:rsid w:val="00847423"/>
    <w:rsid w:val="008612CB"/>
    <w:rsid w:val="008C5C38"/>
    <w:rsid w:val="008D7973"/>
    <w:rsid w:val="00914239"/>
    <w:rsid w:val="0096298F"/>
    <w:rsid w:val="009A776F"/>
    <w:rsid w:val="009E2633"/>
    <w:rsid w:val="009E688E"/>
    <w:rsid w:val="009E7C5A"/>
    <w:rsid w:val="009F14C8"/>
    <w:rsid w:val="00A00C04"/>
    <w:rsid w:val="00A172DA"/>
    <w:rsid w:val="00A9775F"/>
    <w:rsid w:val="00AC1110"/>
    <w:rsid w:val="00AF442D"/>
    <w:rsid w:val="00B01335"/>
    <w:rsid w:val="00B97392"/>
    <w:rsid w:val="00BB2DE0"/>
    <w:rsid w:val="00BB4DD8"/>
    <w:rsid w:val="00BB72A5"/>
    <w:rsid w:val="00BF42B4"/>
    <w:rsid w:val="00C00DF5"/>
    <w:rsid w:val="00C257EE"/>
    <w:rsid w:val="00C60611"/>
    <w:rsid w:val="00CA4A7D"/>
    <w:rsid w:val="00CC6A22"/>
    <w:rsid w:val="00D528D1"/>
    <w:rsid w:val="00D63B1A"/>
    <w:rsid w:val="00D91241"/>
    <w:rsid w:val="00DA56F8"/>
    <w:rsid w:val="00E535FA"/>
    <w:rsid w:val="00E655D5"/>
    <w:rsid w:val="00E82563"/>
    <w:rsid w:val="00EC0E36"/>
    <w:rsid w:val="00F00B58"/>
    <w:rsid w:val="00F762C7"/>
    <w:rsid w:val="00F811D4"/>
    <w:rsid w:val="00FA2CA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F0643"/>
    <w:pPr>
      <w:spacing w:after="120" w:line="240" w:lineRule="auto"/>
      <w:jc w:val="both"/>
    </w:pPr>
    <w:rPr>
      <w:rFonts w:ascii="Arial" w:hAnsi="Arial"/>
    </w:rPr>
  </w:style>
  <w:style w:type="paragraph" w:styleId="Nagwek1">
    <w:name w:val="heading 1"/>
    <w:basedOn w:val="Normalny"/>
    <w:next w:val="Normalny"/>
    <w:link w:val="Nagwek1Znak"/>
    <w:uiPriority w:val="9"/>
    <w:qFormat/>
    <w:rsid w:val="00C60611"/>
    <w:pPr>
      <w:keepNext/>
      <w:keepLines/>
      <w:spacing w:before="240" w:after="180"/>
      <w:outlineLvl w:val="0"/>
    </w:pPr>
    <w:rPr>
      <w:rFonts w:eastAsiaTheme="majorEastAsia" w:cstheme="majorBidi"/>
      <w:b/>
      <w:bCs/>
      <w:color w:val="0070C0"/>
      <w:sz w:val="24"/>
      <w:szCs w:val="28"/>
    </w:rPr>
  </w:style>
  <w:style w:type="paragraph" w:styleId="Nagwek2">
    <w:name w:val="heading 2"/>
    <w:basedOn w:val="Normalny"/>
    <w:next w:val="Normalny"/>
    <w:link w:val="Nagwek2Znak"/>
    <w:uiPriority w:val="9"/>
    <w:qFormat/>
    <w:rsid w:val="006D6B90"/>
    <w:pPr>
      <w:keepNext/>
      <w:keepLines/>
      <w:spacing w:before="240" w:after="180"/>
      <w:outlineLvl w:val="1"/>
    </w:pPr>
    <w:rPr>
      <w:rFonts w:eastAsiaTheme="majorEastAsia" w:cstheme="majorBidi"/>
      <w:b/>
      <w:bCs/>
      <w:szCs w:val="26"/>
    </w:rPr>
  </w:style>
  <w:style w:type="paragraph" w:styleId="Nagwek3">
    <w:name w:val="heading 3"/>
    <w:basedOn w:val="Normalny"/>
    <w:next w:val="Normalny"/>
    <w:link w:val="Nagwek3Znak"/>
    <w:uiPriority w:val="9"/>
    <w:qFormat/>
    <w:rsid w:val="002F0643"/>
    <w:pPr>
      <w:keepNext/>
      <w:keepLines/>
      <w:spacing w:before="240" w:after="180"/>
      <w:outlineLvl w:val="2"/>
    </w:pPr>
    <w:rPr>
      <w:rFonts w:eastAsiaTheme="majorEastAsia" w:cstheme="majorBidi"/>
      <w:b/>
      <w:bCs/>
      <w:i/>
    </w:rPr>
  </w:style>
  <w:style w:type="paragraph" w:styleId="Nagwek4">
    <w:name w:val="heading 4"/>
    <w:basedOn w:val="Normalny"/>
    <w:next w:val="Normalny"/>
    <w:link w:val="Nagwek4Znak"/>
    <w:uiPriority w:val="9"/>
    <w:qFormat/>
    <w:rsid w:val="002F0643"/>
    <w:pPr>
      <w:keepNext/>
      <w:keepLines/>
      <w:spacing w:before="180"/>
      <w:outlineLvl w:val="3"/>
    </w:pPr>
    <w:rPr>
      <w:rFonts w:eastAsiaTheme="majorEastAsia" w:cstheme="majorBidi"/>
      <w:bCs/>
      <w:iCs/>
      <w:u w:val="single"/>
    </w:rPr>
  </w:style>
  <w:style w:type="paragraph" w:styleId="Nagwek5">
    <w:name w:val="heading 5"/>
    <w:basedOn w:val="Normalny"/>
    <w:next w:val="Normalny"/>
    <w:link w:val="Nagwek5Znak"/>
    <w:uiPriority w:val="9"/>
    <w:qFormat/>
    <w:rsid w:val="002F0643"/>
    <w:pPr>
      <w:keepNext/>
      <w:keepLines/>
      <w:spacing w:before="180"/>
      <w:outlineLvl w:val="4"/>
    </w:pPr>
    <w:rPr>
      <w:rFonts w:eastAsiaTheme="majorEastAsia" w:cstheme="majorBidi"/>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60611"/>
    <w:rPr>
      <w:rFonts w:ascii="Arial" w:eastAsiaTheme="majorEastAsia" w:hAnsi="Arial" w:cstheme="majorBidi"/>
      <w:b/>
      <w:bCs/>
      <w:color w:val="0070C0"/>
      <w:sz w:val="24"/>
      <w:szCs w:val="28"/>
    </w:rPr>
  </w:style>
  <w:style w:type="character" w:customStyle="1" w:styleId="Nagwek2Znak">
    <w:name w:val="Nagłówek 2 Znak"/>
    <w:basedOn w:val="Domylnaczcionkaakapitu"/>
    <w:link w:val="Nagwek2"/>
    <w:uiPriority w:val="9"/>
    <w:rsid w:val="006D6B90"/>
    <w:rPr>
      <w:rFonts w:ascii="Arial" w:eastAsiaTheme="majorEastAsia" w:hAnsi="Arial" w:cstheme="majorBidi"/>
      <w:b/>
      <w:bCs/>
      <w:szCs w:val="26"/>
    </w:rPr>
  </w:style>
  <w:style w:type="character" w:customStyle="1" w:styleId="Nagwek3Znak">
    <w:name w:val="Nagłówek 3 Znak"/>
    <w:basedOn w:val="Domylnaczcionkaakapitu"/>
    <w:link w:val="Nagwek3"/>
    <w:uiPriority w:val="9"/>
    <w:rsid w:val="002F0643"/>
    <w:rPr>
      <w:rFonts w:ascii="Arial" w:eastAsiaTheme="majorEastAsia" w:hAnsi="Arial" w:cstheme="majorBidi"/>
      <w:b/>
      <w:bCs/>
      <w:i/>
    </w:rPr>
  </w:style>
  <w:style w:type="character" w:customStyle="1" w:styleId="Nagwek4Znak">
    <w:name w:val="Nagłówek 4 Znak"/>
    <w:basedOn w:val="Domylnaczcionkaakapitu"/>
    <w:link w:val="Nagwek4"/>
    <w:uiPriority w:val="9"/>
    <w:rsid w:val="002F0643"/>
    <w:rPr>
      <w:rFonts w:ascii="Arial" w:eastAsiaTheme="majorEastAsia" w:hAnsi="Arial" w:cstheme="majorBidi"/>
      <w:bCs/>
      <w:iCs/>
      <w:u w:val="single"/>
    </w:rPr>
  </w:style>
  <w:style w:type="character" w:customStyle="1" w:styleId="Nagwek5Znak">
    <w:name w:val="Nagłówek 5 Znak"/>
    <w:basedOn w:val="Domylnaczcionkaakapitu"/>
    <w:link w:val="Nagwek5"/>
    <w:uiPriority w:val="9"/>
    <w:rsid w:val="002F0643"/>
    <w:rPr>
      <w:rFonts w:ascii="Arial" w:eastAsiaTheme="majorEastAsia" w:hAnsi="Arial" w:cstheme="majorBidi"/>
      <w:i/>
    </w:rPr>
  </w:style>
  <w:style w:type="paragraph" w:styleId="Tytu">
    <w:name w:val="Title"/>
    <w:basedOn w:val="Normalny"/>
    <w:next w:val="Normalny"/>
    <w:link w:val="TytuZnak"/>
    <w:uiPriority w:val="10"/>
    <w:qFormat/>
    <w:rsid w:val="00C60611"/>
    <w:pPr>
      <w:spacing w:before="240"/>
      <w:jc w:val="left"/>
    </w:pPr>
    <w:rPr>
      <w:rFonts w:eastAsiaTheme="majorEastAsia" w:cstheme="majorBidi"/>
      <w:b/>
      <w:color w:val="000000" w:themeColor="text1"/>
      <w:spacing w:val="5"/>
      <w:kern w:val="28"/>
      <w:sz w:val="28"/>
      <w:szCs w:val="52"/>
    </w:rPr>
  </w:style>
  <w:style w:type="character" w:customStyle="1" w:styleId="TytuZnak">
    <w:name w:val="Tytuł Znak"/>
    <w:basedOn w:val="Domylnaczcionkaakapitu"/>
    <w:link w:val="Tytu"/>
    <w:uiPriority w:val="10"/>
    <w:rsid w:val="00C60611"/>
    <w:rPr>
      <w:rFonts w:ascii="Arial" w:eastAsiaTheme="majorEastAsia" w:hAnsi="Arial" w:cstheme="majorBidi"/>
      <w:b/>
      <w:color w:val="000000" w:themeColor="text1"/>
      <w:spacing w:val="5"/>
      <w:kern w:val="28"/>
      <w:sz w:val="28"/>
      <w:szCs w:val="52"/>
    </w:rPr>
  </w:style>
  <w:style w:type="paragraph" w:styleId="Podtytu">
    <w:name w:val="Subtitle"/>
    <w:basedOn w:val="Normalny"/>
    <w:next w:val="Normalny"/>
    <w:link w:val="PodtytuZnak"/>
    <w:uiPriority w:val="11"/>
    <w:qFormat/>
    <w:rsid w:val="001A12CF"/>
    <w:pPr>
      <w:numPr>
        <w:ilvl w:val="1"/>
      </w:numPr>
      <w:spacing w:before="120"/>
    </w:pPr>
    <w:rPr>
      <w:rFonts w:eastAsiaTheme="majorEastAsia" w:cstheme="majorBidi"/>
      <w:b/>
      <w:iCs/>
      <w:color w:val="0070C0"/>
      <w:spacing w:val="15"/>
      <w:sz w:val="24"/>
      <w:szCs w:val="24"/>
    </w:rPr>
  </w:style>
  <w:style w:type="character" w:customStyle="1" w:styleId="PodtytuZnak">
    <w:name w:val="Podtytuł Znak"/>
    <w:basedOn w:val="Domylnaczcionkaakapitu"/>
    <w:link w:val="Podtytu"/>
    <w:uiPriority w:val="11"/>
    <w:rsid w:val="001A12CF"/>
    <w:rPr>
      <w:rFonts w:ascii="Arial" w:eastAsiaTheme="majorEastAsia" w:hAnsi="Arial" w:cstheme="majorBidi"/>
      <w:b/>
      <w:iCs/>
      <w:color w:val="0070C0"/>
      <w:spacing w:val="15"/>
      <w:sz w:val="24"/>
      <w:szCs w:val="24"/>
    </w:rPr>
  </w:style>
  <w:style w:type="character" w:styleId="Uwydatnienie">
    <w:name w:val="Emphasis"/>
    <w:basedOn w:val="Domylnaczcionkaakapitu"/>
    <w:uiPriority w:val="20"/>
    <w:unhideWhenUsed/>
    <w:qFormat/>
    <w:rsid w:val="002F0643"/>
    <w:rPr>
      <w:i/>
      <w:iCs/>
    </w:rPr>
  </w:style>
  <w:style w:type="paragraph" w:styleId="Bezodstpw">
    <w:name w:val="No Spacing"/>
    <w:uiPriority w:val="1"/>
    <w:unhideWhenUsed/>
    <w:qFormat/>
    <w:rsid w:val="002F0643"/>
    <w:pPr>
      <w:spacing w:after="0" w:line="240" w:lineRule="auto"/>
      <w:jc w:val="both"/>
    </w:pPr>
    <w:rPr>
      <w:rFonts w:ascii="Arial" w:hAnsi="Arial"/>
    </w:rPr>
  </w:style>
  <w:style w:type="paragraph" w:styleId="Akapitzlist">
    <w:name w:val="List Paragraph"/>
    <w:basedOn w:val="Normalny"/>
    <w:uiPriority w:val="34"/>
    <w:unhideWhenUsed/>
    <w:qFormat/>
    <w:rsid w:val="002F0643"/>
    <w:pPr>
      <w:spacing w:after="60"/>
      <w:ind w:left="720"/>
    </w:pPr>
  </w:style>
  <w:style w:type="paragraph" w:styleId="Cytat">
    <w:name w:val="Quote"/>
    <w:basedOn w:val="Normalny"/>
    <w:next w:val="Normalny"/>
    <w:link w:val="CytatZnak"/>
    <w:uiPriority w:val="29"/>
    <w:qFormat/>
    <w:rsid w:val="002F0643"/>
    <w:pPr>
      <w:spacing w:before="60" w:after="60"/>
      <w:ind w:left="113" w:right="113"/>
    </w:pPr>
    <w:rPr>
      <w:i/>
      <w:iCs/>
      <w:color w:val="365F91" w:themeColor="accent1" w:themeShade="BF"/>
      <w:sz w:val="18"/>
    </w:rPr>
  </w:style>
  <w:style w:type="character" w:customStyle="1" w:styleId="CytatZnak">
    <w:name w:val="Cytat Znak"/>
    <w:basedOn w:val="Domylnaczcionkaakapitu"/>
    <w:link w:val="Cytat"/>
    <w:uiPriority w:val="29"/>
    <w:rsid w:val="002F0643"/>
    <w:rPr>
      <w:rFonts w:ascii="Arial" w:hAnsi="Arial"/>
      <w:i/>
      <w:iCs/>
      <w:color w:val="365F91" w:themeColor="accent1" w:themeShade="BF"/>
      <w:sz w:val="18"/>
    </w:rPr>
  </w:style>
  <w:style w:type="paragraph" w:styleId="Cytatintensywny">
    <w:name w:val="Intense Quote"/>
    <w:aliases w:val="Pod obrazkiem"/>
    <w:basedOn w:val="Normalny"/>
    <w:next w:val="Normalny"/>
    <w:link w:val="CytatintensywnyZnak"/>
    <w:uiPriority w:val="30"/>
    <w:qFormat/>
    <w:rsid w:val="002F0643"/>
    <w:pPr>
      <w:spacing w:before="80" w:after="80"/>
      <w:jc w:val="center"/>
    </w:pPr>
    <w:rPr>
      <w:bCs/>
      <w:iCs/>
      <w:sz w:val="16"/>
    </w:rPr>
  </w:style>
  <w:style w:type="character" w:customStyle="1" w:styleId="CytatintensywnyZnak">
    <w:name w:val="Cytat intensywny Znak"/>
    <w:aliases w:val="Pod obrazkiem Znak"/>
    <w:basedOn w:val="Domylnaczcionkaakapitu"/>
    <w:link w:val="Cytatintensywny"/>
    <w:uiPriority w:val="30"/>
    <w:rsid w:val="002F0643"/>
    <w:rPr>
      <w:rFonts w:ascii="Arial" w:hAnsi="Arial"/>
      <w:bCs/>
      <w:iCs/>
      <w:sz w:val="16"/>
    </w:rPr>
  </w:style>
  <w:style w:type="character" w:styleId="Wyrnieniedelikatne">
    <w:name w:val="Subtle Emphasis"/>
    <w:basedOn w:val="Domylnaczcionkaakapitu"/>
    <w:uiPriority w:val="19"/>
    <w:unhideWhenUsed/>
    <w:qFormat/>
    <w:rsid w:val="002F0643"/>
    <w:rPr>
      <w:i/>
      <w:iCs/>
      <w:color w:val="808080" w:themeColor="text1" w:themeTint="7F"/>
    </w:rPr>
  </w:style>
  <w:style w:type="character" w:styleId="Odwoaniedelikatne">
    <w:name w:val="Subtle Reference"/>
    <w:basedOn w:val="Domylnaczcionkaakapitu"/>
    <w:uiPriority w:val="31"/>
    <w:unhideWhenUsed/>
    <w:qFormat/>
    <w:rsid w:val="002F0643"/>
    <w:rPr>
      <w:smallCaps/>
      <w:color w:val="C0504D" w:themeColor="accent2"/>
      <w:u w:val="single"/>
    </w:rPr>
  </w:style>
  <w:style w:type="character" w:styleId="Hipercze">
    <w:name w:val="Hyperlink"/>
    <w:basedOn w:val="Domylnaczcionkaakapitu"/>
    <w:uiPriority w:val="99"/>
    <w:unhideWhenUsed/>
    <w:rsid w:val="00A172DA"/>
    <w:rPr>
      <w:color w:val="0000FF" w:themeColor="hyperlink"/>
      <w:u w:val="single"/>
    </w:rPr>
  </w:style>
  <w:style w:type="paragraph" w:styleId="Nagwek">
    <w:name w:val="header"/>
    <w:basedOn w:val="Normalny"/>
    <w:link w:val="NagwekZnak"/>
    <w:uiPriority w:val="99"/>
    <w:unhideWhenUsed/>
    <w:rsid w:val="005501B5"/>
    <w:pPr>
      <w:tabs>
        <w:tab w:val="center" w:pos="4536"/>
        <w:tab w:val="right" w:pos="9072"/>
      </w:tabs>
      <w:spacing w:after="0"/>
    </w:pPr>
  </w:style>
  <w:style w:type="character" w:customStyle="1" w:styleId="NagwekZnak">
    <w:name w:val="Nagłówek Znak"/>
    <w:basedOn w:val="Domylnaczcionkaakapitu"/>
    <w:link w:val="Nagwek"/>
    <w:uiPriority w:val="99"/>
    <w:rsid w:val="005501B5"/>
    <w:rPr>
      <w:rFonts w:ascii="Arial" w:hAnsi="Arial"/>
    </w:rPr>
  </w:style>
  <w:style w:type="paragraph" w:styleId="Stopka">
    <w:name w:val="footer"/>
    <w:basedOn w:val="Normalny"/>
    <w:link w:val="StopkaZnak"/>
    <w:uiPriority w:val="99"/>
    <w:unhideWhenUsed/>
    <w:rsid w:val="005501B5"/>
    <w:pPr>
      <w:tabs>
        <w:tab w:val="center" w:pos="4536"/>
        <w:tab w:val="right" w:pos="9072"/>
      </w:tabs>
      <w:spacing w:after="0"/>
    </w:pPr>
  </w:style>
  <w:style w:type="character" w:customStyle="1" w:styleId="StopkaZnak">
    <w:name w:val="Stopka Znak"/>
    <w:basedOn w:val="Domylnaczcionkaakapitu"/>
    <w:link w:val="Stopka"/>
    <w:uiPriority w:val="99"/>
    <w:rsid w:val="005501B5"/>
    <w:rPr>
      <w:rFonts w:ascii="Arial" w:hAnsi="Arial"/>
    </w:rPr>
  </w:style>
  <w:style w:type="table" w:styleId="Tabela-Siatka">
    <w:name w:val="Table Grid"/>
    <w:basedOn w:val="Standardowy"/>
    <w:uiPriority w:val="39"/>
    <w:rsid w:val="005501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B97392"/>
    <w:rPr>
      <w:color w:val="800080" w:themeColor="followedHyperlink"/>
      <w:u w:val="single"/>
    </w:rPr>
  </w:style>
  <w:style w:type="paragraph" w:styleId="Tekstdymka">
    <w:name w:val="Balloon Text"/>
    <w:basedOn w:val="Normalny"/>
    <w:link w:val="TekstdymkaZnak"/>
    <w:uiPriority w:val="99"/>
    <w:semiHidden/>
    <w:unhideWhenUsed/>
    <w:rsid w:val="0060508B"/>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60508B"/>
    <w:rPr>
      <w:rFonts w:ascii="Tahoma" w:hAnsi="Tahoma" w:cs="Tahoma"/>
      <w:sz w:val="16"/>
      <w:szCs w:val="16"/>
    </w:rPr>
  </w:style>
  <w:style w:type="character" w:styleId="Odwoaniedokomentarza">
    <w:name w:val="annotation reference"/>
    <w:basedOn w:val="Domylnaczcionkaakapitu"/>
    <w:uiPriority w:val="99"/>
    <w:semiHidden/>
    <w:unhideWhenUsed/>
    <w:rsid w:val="0060508B"/>
    <w:rPr>
      <w:sz w:val="16"/>
      <w:szCs w:val="16"/>
    </w:rPr>
  </w:style>
  <w:style w:type="paragraph" w:styleId="Tekstkomentarza">
    <w:name w:val="annotation text"/>
    <w:basedOn w:val="Normalny"/>
    <w:link w:val="TekstkomentarzaZnak"/>
    <w:uiPriority w:val="99"/>
    <w:unhideWhenUsed/>
    <w:rsid w:val="0060508B"/>
    <w:rPr>
      <w:sz w:val="20"/>
      <w:szCs w:val="20"/>
    </w:rPr>
  </w:style>
  <w:style w:type="character" w:customStyle="1" w:styleId="TekstkomentarzaZnak">
    <w:name w:val="Tekst komentarza Znak"/>
    <w:basedOn w:val="Domylnaczcionkaakapitu"/>
    <w:link w:val="Tekstkomentarza"/>
    <w:uiPriority w:val="99"/>
    <w:rsid w:val="0060508B"/>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60508B"/>
    <w:rPr>
      <w:b/>
      <w:bCs/>
    </w:rPr>
  </w:style>
  <w:style w:type="character" w:customStyle="1" w:styleId="TematkomentarzaZnak">
    <w:name w:val="Temat komentarza Znak"/>
    <w:basedOn w:val="TekstkomentarzaZnak"/>
    <w:link w:val="Tematkomentarza"/>
    <w:uiPriority w:val="99"/>
    <w:semiHidden/>
    <w:rsid w:val="0060508B"/>
    <w:rPr>
      <w:rFonts w:ascii="Arial" w:hAnsi="Arial"/>
      <w:b/>
      <w:bCs/>
      <w:sz w:val="20"/>
      <w:szCs w:val="20"/>
    </w:rPr>
  </w:style>
  <w:style w:type="paragraph" w:styleId="Tekstpodstawowy">
    <w:name w:val="Body Text"/>
    <w:basedOn w:val="Normalny"/>
    <w:link w:val="TekstpodstawowyZnak"/>
    <w:uiPriority w:val="1"/>
    <w:qFormat/>
    <w:rsid w:val="00220555"/>
    <w:pPr>
      <w:widowControl w:val="0"/>
      <w:spacing w:before="5" w:after="0"/>
      <w:ind w:left="118"/>
    </w:pPr>
    <w:rPr>
      <w:rFonts w:ascii="Times New Roman" w:eastAsia="Times New Roman" w:hAnsi="Times New Roman" w:cs="Times New Roman"/>
      <w:sz w:val="24"/>
      <w:szCs w:val="24"/>
      <w:lang w:val="en-US"/>
    </w:rPr>
  </w:style>
  <w:style w:type="character" w:customStyle="1" w:styleId="TekstpodstawowyZnak">
    <w:name w:val="Tekst podstawowy Znak"/>
    <w:basedOn w:val="Domylnaczcionkaakapitu"/>
    <w:link w:val="Tekstpodstawowy"/>
    <w:uiPriority w:val="1"/>
    <w:rsid w:val="00220555"/>
    <w:rPr>
      <w:rFonts w:ascii="Times New Roman" w:eastAsia="Times New Roman" w:hAnsi="Times New Roman" w:cs="Times New Roman"/>
      <w:sz w:val="24"/>
      <w:szCs w:val="24"/>
      <w:lang w:val="en-US"/>
    </w:rPr>
  </w:style>
  <w:style w:type="paragraph" w:styleId="Tekstprzypisudolnego">
    <w:name w:val="footnote text"/>
    <w:basedOn w:val="Normalny"/>
    <w:link w:val="TekstprzypisudolnegoZnak"/>
    <w:uiPriority w:val="99"/>
    <w:semiHidden/>
    <w:unhideWhenUsed/>
    <w:rsid w:val="001A12CF"/>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1A12CF"/>
    <w:rPr>
      <w:rFonts w:ascii="Arial" w:hAnsi="Arial"/>
      <w:sz w:val="20"/>
      <w:szCs w:val="20"/>
    </w:rPr>
  </w:style>
  <w:style w:type="character" w:styleId="Odwoanieprzypisudolnego">
    <w:name w:val="footnote reference"/>
    <w:basedOn w:val="Domylnaczcionkaakapitu"/>
    <w:uiPriority w:val="99"/>
    <w:semiHidden/>
    <w:unhideWhenUsed/>
    <w:rsid w:val="001A12CF"/>
    <w:rPr>
      <w:vertAlign w:val="superscript"/>
    </w:rPr>
  </w:style>
  <w:style w:type="character" w:customStyle="1" w:styleId="alb">
    <w:name w:val="a_lb"/>
    <w:basedOn w:val="Domylnaczcionkaakapitu"/>
    <w:rsid w:val="001A12CF"/>
  </w:style>
  <w:style w:type="paragraph" w:styleId="Spistreci1">
    <w:name w:val="toc 1"/>
    <w:basedOn w:val="Normalny"/>
    <w:next w:val="Normalny"/>
    <w:autoRedefine/>
    <w:uiPriority w:val="39"/>
    <w:unhideWhenUsed/>
    <w:rsid w:val="00225D72"/>
    <w:pPr>
      <w:numPr>
        <w:numId w:val="24"/>
      </w:numPr>
      <w:tabs>
        <w:tab w:val="right" w:leader="dot" w:pos="9628"/>
      </w:tabs>
      <w:spacing w:after="240"/>
      <w:ind w:left="714" w:hanging="357"/>
      <w:jc w:val="left"/>
    </w:pPr>
  </w:style>
  <w:style w:type="paragraph" w:styleId="Spistreci2">
    <w:name w:val="toc 2"/>
    <w:basedOn w:val="Normalny"/>
    <w:next w:val="Normalny"/>
    <w:autoRedefine/>
    <w:uiPriority w:val="39"/>
    <w:unhideWhenUsed/>
    <w:rsid w:val="00C60611"/>
    <w:pPr>
      <w:spacing w:after="100"/>
      <w:ind w:left="220"/>
    </w:pPr>
  </w:style>
  <w:style w:type="paragraph" w:styleId="Spistreci3">
    <w:name w:val="toc 3"/>
    <w:basedOn w:val="Normalny"/>
    <w:next w:val="Normalny"/>
    <w:autoRedefine/>
    <w:uiPriority w:val="39"/>
    <w:unhideWhenUsed/>
    <w:rsid w:val="00C60611"/>
    <w:pPr>
      <w:spacing w:after="100" w:line="276" w:lineRule="auto"/>
      <w:ind w:left="440"/>
      <w:jc w:val="left"/>
    </w:pPr>
    <w:rPr>
      <w:rFonts w:asciiTheme="minorHAnsi" w:eastAsiaTheme="minorEastAsia" w:hAnsiTheme="minorHAnsi"/>
      <w:lang w:eastAsia="pl-PL"/>
    </w:rPr>
  </w:style>
  <w:style w:type="paragraph" w:styleId="Spistreci4">
    <w:name w:val="toc 4"/>
    <w:basedOn w:val="Normalny"/>
    <w:next w:val="Normalny"/>
    <w:autoRedefine/>
    <w:uiPriority w:val="39"/>
    <w:unhideWhenUsed/>
    <w:rsid w:val="00C60611"/>
    <w:pPr>
      <w:spacing w:after="100" w:line="276" w:lineRule="auto"/>
      <w:ind w:left="660"/>
      <w:jc w:val="left"/>
    </w:pPr>
    <w:rPr>
      <w:rFonts w:asciiTheme="minorHAnsi" w:eastAsiaTheme="minorEastAsia" w:hAnsiTheme="minorHAnsi"/>
      <w:lang w:eastAsia="pl-PL"/>
    </w:rPr>
  </w:style>
  <w:style w:type="paragraph" w:styleId="Spistreci5">
    <w:name w:val="toc 5"/>
    <w:basedOn w:val="Normalny"/>
    <w:next w:val="Normalny"/>
    <w:autoRedefine/>
    <w:uiPriority w:val="39"/>
    <w:unhideWhenUsed/>
    <w:rsid w:val="00C60611"/>
    <w:pPr>
      <w:spacing w:after="100" w:line="276" w:lineRule="auto"/>
      <w:ind w:left="880"/>
      <w:jc w:val="left"/>
    </w:pPr>
    <w:rPr>
      <w:rFonts w:asciiTheme="minorHAnsi" w:eastAsiaTheme="minorEastAsia" w:hAnsiTheme="minorHAnsi"/>
      <w:lang w:eastAsia="pl-PL"/>
    </w:rPr>
  </w:style>
  <w:style w:type="paragraph" w:styleId="Spistreci6">
    <w:name w:val="toc 6"/>
    <w:basedOn w:val="Normalny"/>
    <w:next w:val="Normalny"/>
    <w:autoRedefine/>
    <w:uiPriority w:val="39"/>
    <w:unhideWhenUsed/>
    <w:rsid w:val="00C60611"/>
    <w:pPr>
      <w:spacing w:after="100" w:line="276" w:lineRule="auto"/>
      <w:ind w:left="1100"/>
      <w:jc w:val="left"/>
    </w:pPr>
    <w:rPr>
      <w:rFonts w:asciiTheme="minorHAnsi" w:eastAsiaTheme="minorEastAsia" w:hAnsiTheme="minorHAnsi"/>
      <w:lang w:eastAsia="pl-PL"/>
    </w:rPr>
  </w:style>
  <w:style w:type="paragraph" w:styleId="Spistreci7">
    <w:name w:val="toc 7"/>
    <w:basedOn w:val="Normalny"/>
    <w:next w:val="Normalny"/>
    <w:autoRedefine/>
    <w:uiPriority w:val="39"/>
    <w:unhideWhenUsed/>
    <w:rsid w:val="00C60611"/>
    <w:pPr>
      <w:spacing w:after="100" w:line="276" w:lineRule="auto"/>
      <w:ind w:left="1320"/>
      <w:jc w:val="left"/>
    </w:pPr>
    <w:rPr>
      <w:rFonts w:asciiTheme="minorHAnsi" w:eastAsiaTheme="minorEastAsia" w:hAnsiTheme="minorHAnsi"/>
      <w:lang w:eastAsia="pl-PL"/>
    </w:rPr>
  </w:style>
  <w:style w:type="paragraph" w:styleId="Spistreci8">
    <w:name w:val="toc 8"/>
    <w:basedOn w:val="Normalny"/>
    <w:next w:val="Normalny"/>
    <w:autoRedefine/>
    <w:uiPriority w:val="39"/>
    <w:unhideWhenUsed/>
    <w:rsid w:val="00C60611"/>
    <w:pPr>
      <w:spacing w:after="100" w:line="276" w:lineRule="auto"/>
      <w:ind w:left="1540"/>
      <w:jc w:val="left"/>
    </w:pPr>
    <w:rPr>
      <w:rFonts w:asciiTheme="minorHAnsi" w:eastAsiaTheme="minorEastAsia" w:hAnsiTheme="minorHAnsi"/>
      <w:lang w:eastAsia="pl-PL"/>
    </w:rPr>
  </w:style>
  <w:style w:type="paragraph" w:styleId="Spistreci9">
    <w:name w:val="toc 9"/>
    <w:basedOn w:val="Normalny"/>
    <w:next w:val="Normalny"/>
    <w:autoRedefine/>
    <w:uiPriority w:val="39"/>
    <w:unhideWhenUsed/>
    <w:rsid w:val="00C60611"/>
    <w:pPr>
      <w:spacing w:after="100" w:line="276" w:lineRule="auto"/>
      <w:ind w:left="1760"/>
      <w:jc w:val="left"/>
    </w:pPr>
    <w:rPr>
      <w:rFonts w:asciiTheme="minorHAnsi" w:eastAsiaTheme="minorEastAsia" w:hAnsiTheme="minorHAnsi"/>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F0643"/>
    <w:pPr>
      <w:spacing w:after="120" w:line="240" w:lineRule="auto"/>
      <w:jc w:val="both"/>
    </w:pPr>
    <w:rPr>
      <w:rFonts w:ascii="Arial" w:hAnsi="Arial"/>
    </w:rPr>
  </w:style>
  <w:style w:type="paragraph" w:styleId="Nagwek1">
    <w:name w:val="heading 1"/>
    <w:basedOn w:val="Normalny"/>
    <w:next w:val="Normalny"/>
    <w:link w:val="Nagwek1Znak"/>
    <w:uiPriority w:val="9"/>
    <w:qFormat/>
    <w:rsid w:val="002F0643"/>
    <w:pPr>
      <w:keepNext/>
      <w:keepLines/>
      <w:spacing w:before="360" w:after="240"/>
      <w:outlineLvl w:val="0"/>
    </w:pPr>
    <w:rPr>
      <w:rFonts w:eastAsiaTheme="majorEastAsia" w:cstheme="majorBidi"/>
      <w:b/>
      <w:bCs/>
      <w:sz w:val="24"/>
      <w:szCs w:val="28"/>
    </w:rPr>
  </w:style>
  <w:style w:type="paragraph" w:styleId="Nagwek2">
    <w:name w:val="heading 2"/>
    <w:basedOn w:val="Normalny"/>
    <w:next w:val="Normalny"/>
    <w:link w:val="Nagwek2Znak"/>
    <w:uiPriority w:val="9"/>
    <w:qFormat/>
    <w:rsid w:val="006D6B90"/>
    <w:pPr>
      <w:keepNext/>
      <w:keepLines/>
      <w:spacing w:before="240" w:after="180"/>
      <w:outlineLvl w:val="1"/>
    </w:pPr>
    <w:rPr>
      <w:rFonts w:eastAsiaTheme="majorEastAsia" w:cstheme="majorBidi"/>
      <w:b/>
      <w:bCs/>
      <w:szCs w:val="26"/>
    </w:rPr>
  </w:style>
  <w:style w:type="paragraph" w:styleId="Nagwek3">
    <w:name w:val="heading 3"/>
    <w:basedOn w:val="Normalny"/>
    <w:next w:val="Normalny"/>
    <w:link w:val="Nagwek3Znak"/>
    <w:uiPriority w:val="9"/>
    <w:qFormat/>
    <w:rsid w:val="002F0643"/>
    <w:pPr>
      <w:keepNext/>
      <w:keepLines/>
      <w:spacing w:before="240" w:after="180"/>
      <w:outlineLvl w:val="2"/>
    </w:pPr>
    <w:rPr>
      <w:rFonts w:eastAsiaTheme="majorEastAsia" w:cstheme="majorBidi"/>
      <w:b/>
      <w:bCs/>
      <w:i/>
    </w:rPr>
  </w:style>
  <w:style w:type="paragraph" w:styleId="Nagwek4">
    <w:name w:val="heading 4"/>
    <w:basedOn w:val="Normalny"/>
    <w:next w:val="Normalny"/>
    <w:link w:val="Nagwek4Znak"/>
    <w:uiPriority w:val="9"/>
    <w:qFormat/>
    <w:rsid w:val="002F0643"/>
    <w:pPr>
      <w:keepNext/>
      <w:keepLines/>
      <w:spacing w:before="180"/>
      <w:outlineLvl w:val="3"/>
    </w:pPr>
    <w:rPr>
      <w:rFonts w:eastAsiaTheme="majorEastAsia" w:cstheme="majorBidi"/>
      <w:bCs/>
      <w:iCs/>
      <w:u w:val="single"/>
    </w:rPr>
  </w:style>
  <w:style w:type="paragraph" w:styleId="Nagwek5">
    <w:name w:val="heading 5"/>
    <w:basedOn w:val="Normalny"/>
    <w:next w:val="Normalny"/>
    <w:link w:val="Nagwek5Znak"/>
    <w:uiPriority w:val="9"/>
    <w:qFormat/>
    <w:rsid w:val="002F0643"/>
    <w:pPr>
      <w:keepNext/>
      <w:keepLines/>
      <w:spacing w:before="180"/>
      <w:outlineLvl w:val="4"/>
    </w:pPr>
    <w:rPr>
      <w:rFonts w:eastAsiaTheme="majorEastAsia" w:cstheme="majorBidi"/>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F0643"/>
    <w:rPr>
      <w:rFonts w:ascii="Arial" w:eastAsiaTheme="majorEastAsia" w:hAnsi="Arial" w:cstheme="majorBidi"/>
      <w:b/>
      <w:bCs/>
      <w:sz w:val="24"/>
      <w:szCs w:val="28"/>
    </w:rPr>
  </w:style>
  <w:style w:type="character" w:customStyle="1" w:styleId="Nagwek2Znak">
    <w:name w:val="Nagłówek 2 Znak"/>
    <w:basedOn w:val="Domylnaczcionkaakapitu"/>
    <w:link w:val="Nagwek2"/>
    <w:uiPriority w:val="9"/>
    <w:rsid w:val="006D6B90"/>
    <w:rPr>
      <w:rFonts w:ascii="Arial" w:eastAsiaTheme="majorEastAsia" w:hAnsi="Arial" w:cstheme="majorBidi"/>
      <w:b/>
      <w:bCs/>
      <w:szCs w:val="26"/>
    </w:rPr>
  </w:style>
  <w:style w:type="character" w:customStyle="1" w:styleId="Nagwek3Znak">
    <w:name w:val="Nagłówek 3 Znak"/>
    <w:basedOn w:val="Domylnaczcionkaakapitu"/>
    <w:link w:val="Nagwek3"/>
    <w:uiPriority w:val="9"/>
    <w:rsid w:val="002F0643"/>
    <w:rPr>
      <w:rFonts w:ascii="Arial" w:eastAsiaTheme="majorEastAsia" w:hAnsi="Arial" w:cstheme="majorBidi"/>
      <w:b/>
      <w:bCs/>
      <w:i/>
    </w:rPr>
  </w:style>
  <w:style w:type="character" w:customStyle="1" w:styleId="Nagwek4Znak">
    <w:name w:val="Nagłówek 4 Znak"/>
    <w:basedOn w:val="Domylnaczcionkaakapitu"/>
    <w:link w:val="Nagwek4"/>
    <w:uiPriority w:val="9"/>
    <w:rsid w:val="002F0643"/>
    <w:rPr>
      <w:rFonts w:ascii="Arial" w:eastAsiaTheme="majorEastAsia" w:hAnsi="Arial" w:cstheme="majorBidi"/>
      <w:bCs/>
      <w:iCs/>
      <w:u w:val="single"/>
    </w:rPr>
  </w:style>
  <w:style w:type="character" w:customStyle="1" w:styleId="Nagwek5Znak">
    <w:name w:val="Nagłówek 5 Znak"/>
    <w:basedOn w:val="Domylnaczcionkaakapitu"/>
    <w:link w:val="Nagwek5"/>
    <w:uiPriority w:val="9"/>
    <w:rsid w:val="002F0643"/>
    <w:rPr>
      <w:rFonts w:ascii="Arial" w:eastAsiaTheme="majorEastAsia" w:hAnsi="Arial" w:cstheme="majorBidi"/>
      <w:i/>
    </w:rPr>
  </w:style>
  <w:style w:type="paragraph" w:styleId="Tytu">
    <w:name w:val="Title"/>
    <w:basedOn w:val="Normalny"/>
    <w:next w:val="Normalny"/>
    <w:link w:val="TytuZnak"/>
    <w:uiPriority w:val="10"/>
    <w:qFormat/>
    <w:rsid w:val="002F0643"/>
    <w:pPr>
      <w:spacing w:before="480" w:after="360"/>
      <w:jc w:val="left"/>
    </w:pPr>
    <w:rPr>
      <w:rFonts w:eastAsiaTheme="majorEastAsia"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2F0643"/>
    <w:rPr>
      <w:rFonts w:ascii="Arial" w:eastAsiaTheme="majorEastAsia" w:hAnsi="Arial"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2F0643"/>
    <w:pPr>
      <w:numPr>
        <w:ilvl w:val="1"/>
      </w:numPr>
      <w:spacing w:before="240"/>
    </w:pPr>
    <w:rPr>
      <w:rFonts w:eastAsiaTheme="majorEastAsia" w:cstheme="majorBidi"/>
      <w:b/>
      <w:iCs/>
      <w:color w:val="17365D" w:themeColor="text2" w:themeShade="BF"/>
      <w:spacing w:val="15"/>
      <w:sz w:val="24"/>
      <w:szCs w:val="24"/>
    </w:rPr>
  </w:style>
  <w:style w:type="character" w:customStyle="1" w:styleId="PodtytuZnak">
    <w:name w:val="Podtytuł Znak"/>
    <w:basedOn w:val="Domylnaczcionkaakapitu"/>
    <w:link w:val="Podtytu"/>
    <w:uiPriority w:val="11"/>
    <w:rsid w:val="002F0643"/>
    <w:rPr>
      <w:rFonts w:ascii="Arial" w:eastAsiaTheme="majorEastAsia" w:hAnsi="Arial" w:cstheme="majorBidi"/>
      <w:b/>
      <w:iCs/>
      <w:color w:val="17365D" w:themeColor="text2" w:themeShade="BF"/>
      <w:spacing w:val="15"/>
      <w:sz w:val="24"/>
      <w:szCs w:val="24"/>
    </w:rPr>
  </w:style>
  <w:style w:type="character" w:styleId="Uwydatnienie">
    <w:name w:val="Emphasis"/>
    <w:basedOn w:val="Domylnaczcionkaakapitu"/>
    <w:uiPriority w:val="20"/>
    <w:unhideWhenUsed/>
    <w:qFormat/>
    <w:rsid w:val="002F0643"/>
    <w:rPr>
      <w:i/>
      <w:iCs/>
    </w:rPr>
  </w:style>
  <w:style w:type="paragraph" w:styleId="Bezodstpw">
    <w:name w:val="No Spacing"/>
    <w:uiPriority w:val="1"/>
    <w:unhideWhenUsed/>
    <w:qFormat/>
    <w:rsid w:val="002F0643"/>
    <w:pPr>
      <w:spacing w:after="0" w:line="240" w:lineRule="auto"/>
      <w:jc w:val="both"/>
    </w:pPr>
    <w:rPr>
      <w:rFonts w:ascii="Arial" w:hAnsi="Arial"/>
    </w:rPr>
  </w:style>
  <w:style w:type="paragraph" w:styleId="Akapitzlist">
    <w:name w:val="List Paragraph"/>
    <w:basedOn w:val="Normalny"/>
    <w:uiPriority w:val="34"/>
    <w:unhideWhenUsed/>
    <w:qFormat/>
    <w:rsid w:val="002F0643"/>
    <w:pPr>
      <w:spacing w:after="60"/>
      <w:ind w:left="720"/>
    </w:pPr>
  </w:style>
  <w:style w:type="paragraph" w:styleId="Cytat">
    <w:name w:val="Quote"/>
    <w:basedOn w:val="Normalny"/>
    <w:next w:val="Normalny"/>
    <w:link w:val="CytatZnak"/>
    <w:uiPriority w:val="29"/>
    <w:qFormat/>
    <w:rsid w:val="002F0643"/>
    <w:pPr>
      <w:spacing w:before="60" w:after="60"/>
      <w:ind w:left="113" w:right="113"/>
    </w:pPr>
    <w:rPr>
      <w:i/>
      <w:iCs/>
      <w:color w:val="365F91" w:themeColor="accent1" w:themeShade="BF"/>
      <w:sz w:val="18"/>
    </w:rPr>
  </w:style>
  <w:style w:type="character" w:customStyle="1" w:styleId="CytatZnak">
    <w:name w:val="Cytat Znak"/>
    <w:basedOn w:val="Domylnaczcionkaakapitu"/>
    <w:link w:val="Cytat"/>
    <w:uiPriority w:val="29"/>
    <w:rsid w:val="002F0643"/>
    <w:rPr>
      <w:rFonts w:ascii="Arial" w:hAnsi="Arial"/>
      <w:i/>
      <w:iCs/>
      <w:color w:val="365F91" w:themeColor="accent1" w:themeShade="BF"/>
      <w:sz w:val="18"/>
    </w:rPr>
  </w:style>
  <w:style w:type="paragraph" w:styleId="Cytatintensywny">
    <w:name w:val="Intense Quote"/>
    <w:aliases w:val="Pod obrazkiem"/>
    <w:basedOn w:val="Normalny"/>
    <w:next w:val="Normalny"/>
    <w:link w:val="CytatintensywnyZnak"/>
    <w:uiPriority w:val="30"/>
    <w:qFormat/>
    <w:rsid w:val="002F0643"/>
    <w:pPr>
      <w:spacing w:before="80" w:after="80"/>
      <w:jc w:val="center"/>
    </w:pPr>
    <w:rPr>
      <w:bCs/>
      <w:iCs/>
      <w:sz w:val="16"/>
    </w:rPr>
  </w:style>
  <w:style w:type="character" w:customStyle="1" w:styleId="CytatintensywnyZnak">
    <w:name w:val="Cytat intensywny Znak"/>
    <w:aliases w:val="Pod obrazkiem Znak"/>
    <w:basedOn w:val="Domylnaczcionkaakapitu"/>
    <w:link w:val="Cytatintensywny"/>
    <w:uiPriority w:val="30"/>
    <w:rsid w:val="002F0643"/>
    <w:rPr>
      <w:rFonts w:ascii="Arial" w:hAnsi="Arial"/>
      <w:bCs/>
      <w:iCs/>
      <w:sz w:val="16"/>
    </w:rPr>
  </w:style>
  <w:style w:type="character" w:styleId="Wyrnieniedelikatne">
    <w:name w:val="Subtle Emphasis"/>
    <w:basedOn w:val="Domylnaczcionkaakapitu"/>
    <w:uiPriority w:val="19"/>
    <w:unhideWhenUsed/>
    <w:qFormat/>
    <w:rsid w:val="002F0643"/>
    <w:rPr>
      <w:i/>
      <w:iCs/>
      <w:color w:val="808080" w:themeColor="text1" w:themeTint="7F"/>
    </w:rPr>
  </w:style>
  <w:style w:type="character" w:styleId="Odwoaniedelikatne">
    <w:name w:val="Subtle Reference"/>
    <w:basedOn w:val="Domylnaczcionkaakapitu"/>
    <w:uiPriority w:val="31"/>
    <w:unhideWhenUsed/>
    <w:qFormat/>
    <w:rsid w:val="002F0643"/>
    <w:rPr>
      <w:smallCaps/>
      <w:color w:val="C0504D" w:themeColor="accent2"/>
      <w:u w:val="single"/>
    </w:rPr>
  </w:style>
  <w:style w:type="character" w:styleId="Hipercze">
    <w:name w:val="Hyperlink"/>
    <w:basedOn w:val="Domylnaczcionkaakapitu"/>
    <w:uiPriority w:val="99"/>
    <w:unhideWhenUsed/>
    <w:rsid w:val="00A172DA"/>
    <w:rPr>
      <w:color w:val="0000FF" w:themeColor="hyperlink"/>
      <w:u w:val="single"/>
    </w:rPr>
  </w:style>
  <w:style w:type="paragraph" w:styleId="Nagwek">
    <w:name w:val="header"/>
    <w:basedOn w:val="Normalny"/>
    <w:link w:val="NagwekZnak"/>
    <w:uiPriority w:val="99"/>
    <w:unhideWhenUsed/>
    <w:rsid w:val="005501B5"/>
    <w:pPr>
      <w:tabs>
        <w:tab w:val="center" w:pos="4536"/>
        <w:tab w:val="right" w:pos="9072"/>
      </w:tabs>
      <w:spacing w:after="0"/>
    </w:pPr>
  </w:style>
  <w:style w:type="character" w:customStyle="1" w:styleId="NagwekZnak">
    <w:name w:val="Nagłówek Znak"/>
    <w:basedOn w:val="Domylnaczcionkaakapitu"/>
    <w:link w:val="Nagwek"/>
    <w:uiPriority w:val="99"/>
    <w:rsid w:val="005501B5"/>
    <w:rPr>
      <w:rFonts w:ascii="Arial" w:hAnsi="Arial"/>
    </w:rPr>
  </w:style>
  <w:style w:type="paragraph" w:styleId="Stopka">
    <w:name w:val="footer"/>
    <w:basedOn w:val="Normalny"/>
    <w:link w:val="StopkaZnak"/>
    <w:uiPriority w:val="99"/>
    <w:unhideWhenUsed/>
    <w:rsid w:val="005501B5"/>
    <w:pPr>
      <w:tabs>
        <w:tab w:val="center" w:pos="4536"/>
        <w:tab w:val="right" w:pos="9072"/>
      </w:tabs>
      <w:spacing w:after="0"/>
    </w:pPr>
  </w:style>
  <w:style w:type="character" w:customStyle="1" w:styleId="StopkaZnak">
    <w:name w:val="Stopka Znak"/>
    <w:basedOn w:val="Domylnaczcionkaakapitu"/>
    <w:link w:val="Stopka"/>
    <w:uiPriority w:val="99"/>
    <w:rsid w:val="005501B5"/>
    <w:rPr>
      <w:rFonts w:ascii="Arial" w:hAnsi="Arial"/>
    </w:rPr>
  </w:style>
  <w:style w:type="table" w:styleId="Tabela-Siatka">
    <w:name w:val="Table Grid"/>
    <w:basedOn w:val="Standardowy"/>
    <w:uiPriority w:val="39"/>
    <w:rsid w:val="005501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B97392"/>
    <w:rPr>
      <w:color w:val="800080" w:themeColor="followedHyperlink"/>
      <w:u w:val="single"/>
    </w:rPr>
  </w:style>
  <w:style w:type="paragraph" w:styleId="Tekstdymka">
    <w:name w:val="Balloon Text"/>
    <w:basedOn w:val="Normalny"/>
    <w:link w:val="TekstdymkaZnak"/>
    <w:uiPriority w:val="99"/>
    <w:semiHidden/>
    <w:unhideWhenUsed/>
    <w:rsid w:val="0060508B"/>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60508B"/>
    <w:rPr>
      <w:rFonts w:ascii="Tahoma" w:hAnsi="Tahoma" w:cs="Tahoma"/>
      <w:sz w:val="16"/>
      <w:szCs w:val="16"/>
    </w:rPr>
  </w:style>
  <w:style w:type="character" w:styleId="Odwoaniedokomentarza">
    <w:name w:val="annotation reference"/>
    <w:basedOn w:val="Domylnaczcionkaakapitu"/>
    <w:uiPriority w:val="99"/>
    <w:semiHidden/>
    <w:unhideWhenUsed/>
    <w:rsid w:val="0060508B"/>
    <w:rPr>
      <w:sz w:val="16"/>
      <w:szCs w:val="16"/>
    </w:rPr>
  </w:style>
  <w:style w:type="paragraph" w:styleId="Tekstkomentarza">
    <w:name w:val="annotation text"/>
    <w:basedOn w:val="Normalny"/>
    <w:link w:val="TekstkomentarzaZnak"/>
    <w:uiPriority w:val="99"/>
    <w:semiHidden/>
    <w:unhideWhenUsed/>
    <w:rsid w:val="0060508B"/>
    <w:rPr>
      <w:sz w:val="20"/>
      <w:szCs w:val="20"/>
    </w:rPr>
  </w:style>
  <w:style w:type="character" w:customStyle="1" w:styleId="TekstkomentarzaZnak">
    <w:name w:val="Tekst komentarza Znak"/>
    <w:basedOn w:val="Domylnaczcionkaakapitu"/>
    <w:link w:val="Tekstkomentarza"/>
    <w:uiPriority w:val="99"/>
    <w:semiHidden/>
    <w:rsid w:val="0060508B"/>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60508B"/>
    <w:rPr>
      <w:b/>
      <w:bCs/>
    </w:rPr>
  </w:style>
  <w:style w:type="character" w:customStyle="1" w:styleId="TematkomentarzaZnak">
    <w:name w:val="Temat komentarza Znak"/>
    <w:basedOn w:val="TekstkomentarzaZnak"/>
    <w:link w:val="Tematkomentarza"/>
    <w:uiPriority w:val="99"/>
    <w:semiHidden/>
    <w:rsid w:val="0060508B"/>
    <w:rPr>
      <w:rFonts w:ascii="Arial" w:hAnsi="Arial"/>
      <w:b/>
      <w:bCs/>
      <w:sz w:val="20"/>
      <w:szCs w:val="20"/>
    </w:rPr>
  </w:style>
</w:styles>
</file>

<file path=word/webSettings.xml><?xml version="1.0" encoding="utf-8"?>
<w:webSettings xmlns:r="http://schemas.openxmlformats.org/officeDocument/2006/relationships" xmlns:w="http://schemas.openxmlformats.org/wordprocessingml/2006/main">
  <w:divs>
    <w:div w:id="88433185">
      <w:bodyDiv w:val="1"/>
      <w:marLeft w:val="0"/>
      <w:marRight w:val="0"/>
      <w:marTop w:val="0"/>
      <w:marBottom w:val="0"/>
      <w:divBdr>
        <w:top w:val="none" w:sz="0" w:space="0" w:color="auto"/>
        <w:left w:val="none" w:sz="0" w:space="0" w:color="auto"/>
        <w:bottom w:val="none" w:sz="0" w:space="0" w:color="auto"/>
        <w:right w:val="none" w:sz="0" w:space="0" w:color="auto"/>
      </w:divBdr>
      <w:divsChild>
        <w:div w:id="528373016">
          <w:marLeft w:val="547"/>
          <w:marRight w:val="0"/>
          <w:marTop w:val="58"/>
          <w:marBottom w:val="0"/>
          <w:divBdr>
            <w:top w:val="none" w:sz="0" w:space="0" w:color="auto"/>
            <w:left w:val="none" w:sz="0" w:space="0" w:color="auto"/>
            <w:bottom w:val="none" w:sz="0" w:space="0" w:color="auto"/>
            <w:right w:val="none" w:sz="0" w:space="0" w:color="auto"/>
          </w:divBdr>
        </w:div>
        <w:div w:id="1741947648">
          <w:marLeft w:val="1166"/>
          <w:marRight w:val="0"/>
          <w:marTop w:val="58"/>
          <w:marBottom w:val="0"/>
          <w:divBdr>
            <w:top w:val="none" w:sz="0" w:space="0" w:color="auto"/>
            <w:left w:val="none" w:sz="0" w:space="0" w:color="auto"/>
            <w:bottom w:val="none" w:sz="0" w:space="0" w:color="auto"/>
            <w:right w:val="none" w:sz="0" w:space="0" w:color="auto"/>
          </w:divBdr>
        </w:div>
        <w:div w:id="108857702">
          <w:marLeft w:val="1166"/>
          <w:marRight w:val="0"/>
          <w:marTop w:val="58"/>
          <w:marBottom w:val="0"/>
          <w:divBdr>
            <w:top w:val="none" w:sz="0" w:space="0" w:color="auto"/>
            <w:left w:val="none" w:sz="0" w:space="0" w:color="auto"/>
            <w:bottom w:val="none" w:sz="0" w:space="0" w:color="auto"/>
            <w:right w:val="none" w:sz="0" w:space="0" w:color="auto"/>
          </w:divBdr>
        </w:div>
        <w:div w:id="1286500613">
          <w:marLeft w:val="1166"/>
          <w:marRight w:val="0"/>
          <w:marTop w:val="58"/>
          <w:marBottom w:val="0"/>
          <w:divBdr>
            <w:top w:val="none" w:sz="0" w:space="0" w:color="auto"/>
            <w:left w:val="none" w:sz="0" w:space="0" w:color="auto"/>
            <w:bottom w:val="none" w:sz="0" w:space="0" w:color="auto"/>
            <w:right w:val="none" w:sz="0" w:space="0" w:color="auto"/>
          </w:divBdr>
        </w:div>
        <w:div w:id="20057994">
          <w:marLeft w:val="547"/>
          <w:marRight w:val="0"/>
          <w:marTop w:val="58"/>
          <w:marBottom w:val="0"/>
          <w:divBdr>
            <w:top w:val="none" w:sz="0" w:space="0" w:color="auto"/>
            <w:left w:val="none" w:sz="0" w:space="0" w:color="auto"/>
            <w:bottom w:val="none" w:sz="0" w:space="0" w:color="auto"/>
            <w:right w:val="none" w:sz="0" w:space="0" w:color="auto"/>
          </w:divBdr>
        </w:div>
        <w:div w:id="1114864074">
          <w:marLeft w:val="1166"/>
          <w:marRight w:val="0"/>
          <w:marTop w:val="58"/>
          <w:marBottom w:val="0"/>
          <w:divBdr>
            <w:top w:val="none" w:sz="0" w:space="0" w:color="auto"/>
            <w:left w:val="none" w:sz="0" w:space="0" w:color="auto"/>
            <w:bottom w:val="none" w:sz="0" w:space="0" w:color="auto"/>
            <w:right w:val="none" w:sz="0" w:space="0" w:color="auto"/>
          </w:divBdr>
        </w:div>
        <w:div w:id="203182657">
          <w:marLeft w:val="1166"/>
          <w:marRight w:val="0"/>
          <w:marTop w:val="58"/>
          <w:marBottom w:val="0"/>
          <w:divBdr>
            <w:top w:val="none" w:sz="0" w:space="0" w:color="auto"/>
            <w:left w:val="none" w:sz="0" w:space="0" w:color="auto"/>
            <w:bottom w:val="none" w:sz="0" w:space="0" w:color="auto"/>
            <w:right w:val="none" w:sz="0" w:space="0" w:color="auto"/>
          </w:divBdr>
        </w:div>
        <w:div w:id="564679542">
          <w:marLeft w:val="1166"/>
          <w:marRight w:val="0"/>
          <w:marTop w:val="58"/>
          <w:marBottom w:val="0"/>
          <w:divBdr>
            <w:top w:val="none" w:sz="0" w:space="0" w:color="auto"/>
            <w:left w:val="none" w:sz="0" w:space="0" w:color="auto"/>
            <w:bottom w:val="none" w:sz="0" w:space="0" w:color="auto"/>
            <w:right w:val="none" w:sz="0" w:space="0" w:color="auto"/>
          </w:divBdr>
        </w:div>
      </w:divsChild>
    </w:div>
    <w:div w:id="501512164">
      <w:bodyDiv w:val="1"/>
      <w:marLeft w:val="0"/>
      <w:marRight w:val="0"/>
      <w:marTop w:val="0"/>
      <w:marBottom w:val="0"/>
      <w:divBdr>
        <w:top w:val="none" w:sz="0" w:space="0" w:color="auto"/>
        <w:left w:val="none" w:sz="0" w:space="0" w:color="auto"/>
        <w:bottom w:val="none" w:sz="0" w:space="0" w:color="auto"/>
        <w:right w:val="none" w:sz="0" w:space="0" w:color="auto"/>
      </w:divBdr>
      <w:divsChild>
        <w:div w:id="1550919097">
          <w:marLeft w:val="547"/>
          <w:marRight w:val="0"/>
          <w:marTop w:val="58"/>
          <w:marBottom w:val="0"/>
          <w:divBdr>
            <w:top w:val="none" w:sz="0" w:space="0" w:color="auto"/>
            <w:left w:val="none" w:sz="0" w:space="0" w:color="auto"/>
            <w:bottom w:val="none" w:sz="0" w:space="0" w:color="auto"/>
            <w:right w:val="none" w:sz="0" w:space="0" w:color="auto"/>
          </w:divBdr>
        </w:div>
        <w:div w:id="1919754541">
          <w:marLeft w:val="1166"/>
          <w:marRight w:val="0"/>
          <w:marTop w:val="58"/>
          <w:marBottom w:val="0"/>
          <w:divBdr>
            <w:top w:val="none" w:sz="0" w:space="0" w:color="auto"/>
            <w:left w:val="none" w:sz="0" w:space="0" w:color="auto"/>
            <w:bottom w:val="none" w:sz="0" w:space="0" w:color="auto"/>
            <w:right w:val="none" w:sz="0" w:space="0" w:color="auto"/>
          </w:divBdr>
        </w:div>
        <w:div w:id="700520869">
          <w:marLeft w:val="1166"/>
          <w:marRight w:val="0"/>
          <w:marTop w:val="58"/>
          <w:marBottom w:val="0"/>
          <w:divBdr>
            <w:top w:val="none" w:sz="0" w:space="0" w:color="auto"/>
            <w:left w:val="none" w:sz="0" w:space="0" w:color="auto"/>
            <w:bottom w:val="none" w:sz="0" w:space="0" w:color="auto"/>
            <w:right w:val="none" w:sz="0" w:space="0" w:color="auto"/>
          </w:divBdr>
        </w:div>
        <w:div w:id="731387575">
          <w:marLeft w:val="1166"/>
          <w:marRight w:val="0"/>
          <w:marTop w:val="58"/>
          <w:marBottom w:val="0"/>
          <w:divBdr>
            <w:top w:val="none" w:sz="0" w:space="0" w:color="auto"/>
            <w:left w:val="none" w:sz="0" w:space="0" w:color="auto"/>
            <w:bottom w:val="none" w:sz="0" w:space="0" w:color="auto"/>
            <w:right w:val="none" w:sz="0" w:space="0" w:color="auto"/>
          </w:divBdr>
        </w:div>
        <w:div w:id="24135994">
          <w:marLeft w:val="547"/>
          <w:marRight w:val="0"/>
          <w:marTop w:val="58"/>
          <w:marBottom w:val="0"/>
          <w:divBdr>
            <w:top w:val="none" w:sz="0" w:space="0" w:color="auto"/>
            <w:left w:val="none" w:sz="0" w:space="0" w:color="auto"/>
            <w:bottom w:val="none" w:sz="0" w:space="0" w:color="auto"/>
            <w:right w:val="none" w:sz="0" w:space="0" w:color="auto"/>
          </w:divBdr>
        </w:div>
        <w:div w:id="86851901">
          <w:marLeft w:val="1166"/>
          <w:marRight w:val="0"/>
          <w:marTop w:val="58"/>
          <w:marBottom w:val="0"/>
          <w:divBdr>
            <w:top w:val="none" w:sz="0" w:space="0" w:color="auto"/>
            <w:left w:val="none" w:sz="0" w:space="0" w:color="auto"/>
            <w:bottom w:val="none" w:sz="0" w:space="0" w:color="auto"/>
            <w:right w:val="none" w:sz="0" w:space="0" w:color="auto"/>
          </w:divBdr>
        </w:div>
        <w:div w:id="592587410">
          <w:marLeft w:val="1166"/>
          <w:marRight w:val="0"/>
          <w:marTop w:val="58"/>
          <w:marBottom w:val="0"/>
          <w:divBdr>
            <w:top w:val="none" w:sz="0" w:space="0" w:color="auto"/>
            <w:left w:val="none" w:sz="0" w:space="0" w:color="auto"/>
            <w:bottom w:val="none" w:sz="0" w:space="0" w:color="auto"/>
            <w:right w:val="none" w:sz="0" w:space="0" w:color="auto"/>
          </w:divBdr>
        </w:div>
        <w:div w:id="1645084966">
          <w:marLeft w:val="1166"/>
          <w:marRight w:val="0"/>
          <w:marTop w:val="58"/>
          <w:marBottom w:val="0"/>
          <w:divBdr>
            <w:top w:val="none" w:sz="0" w:space="0" w:color="auto"/>
            <w:left w:val="none" w:sz="0" w:space="0" w:color="auto"/>
            <w:bottom w:val="none" w:sz="0" w:space="0" w:color="auto"/>
            <w:right w:val="none" w:sz="0" w:space="0" w:color="auto"/>
          </w:divBdr>
        </w:div>
        <w:div w:id="2141802269">
          <w:marLeft w:val="547"/>
          <w:marRight w:val="0"/>
          <w:marTop w:val="58"/>
          <w:marBottom w:val="0"/>
          <w:divBdr>
            <w:top w:val="none" w:sz="0" w:space="0" w:color="auto"/>
            <w:left w:val="none" w:sz="0" w:space="0" w:color="auto"/>
            <w:bottom w:val="none" w:sz="0" w:space="0" w:color="auto"/>
            <w:right w:val="none" w:sz="0" w:space="0" w:color="auto"/>
          </w:divBdr>
        </w:div>
        <w:div w:id="1211500997">
          <w:marLeft w:val="547"/>
          <w:marRight w:val="0"/>
          <w:marTop w:val="58"/>
          <w:marBottom w:val="0"/>
          <w:divBdr>
            <w:top w:val="none" w:sz="0" w:space="0" w:color="auto"/>
            <w:left w:val="none" w:sz="0" w:space="0" w:color="auto"/>
            <w:bottom w:val="none" w:sz="0" w:space="0" w:color="auto"/>
            <w:right w:val="none" w:sz="0" w:space="0" w:color="auto"/>
          </w:divBdr>
        </w:div>
        <w:div w:id="798039079">
          <w:marLeft w:val="547"/>
          <w:marRight w:val="0"/>
          <w:marTop w:val="58"/>
          <w:marBottom w:val="0"/>
          <w:divBdr>
            <w:top w:val="none" w:sz="0" w:space="0" w:color="auto"/>
            <w:left w:val="none" w:sz="0" w:space="0" w:color="auto"/>
            <w:bottom w:val="none" w:sz="0" w:space="0" w:color="auto"/>
            <w:right w:val="none" w:sz="0" w:space="0" w:color="auto"/>
          </w:divBdr>
        </w:div>
      </w:divsChild>
    </w:div>
    <w:div w:id="727581021">
      <w:bodyDiv w:val="1"/>
      <w:marLeft w:val="0"/>
      <w:marRight w:val="0"/>
      <w:marTop w:val="0"/>
      <w:marBottom w:val="0"/>
      <w:divBdr>
        <w:top w:val="none" w:sz="0" w:space="0" w:color="auto"/>
        <w:left w:val="none" w:sz="0" w:space="0" w:color="auto"/>
        <w:bottom w:val="none" w:sz="0" w:space="0" w:color="auto"/>
        <w:right w:val="none" w:sz="0" w:space="0" w:color="auto"/>
      </w:divBdr>
      <w:divsChild>
        <w:div w:id="113328129">
          <w:marLeft w:val="547"/>
          <w:marRight w:val="0"/>
          <w:marTop w:val="80"/>
          <w:marBottom w:val="0"/>
          <w:divBdr>
            <w:top w:val="none" w:sz="0" w:space="0" w:color="auto"/>
            <w:left w:val="none" w:sz="0" w:space="0" w:color="auto"/>
            <w:bottom w:val="none" w:sz="0" w:space="0" w:color="auto"/>
            <w:right w:val="none" w:sz="0" w:space="0" w:color="auto"/>
          </w:divBdr>
        </w:div>
        <w:div w:id="1842546419">
          <w:marLeft w:val="1166"/>
          <w:marRight w:val="0"/>
          <w:marTop w:val="58"/>
          <w:marBottom w:val="0"/>
          <w:divBdr>
            <w:top w:val="none" w:sz="0" w:space="0" w:color="auto"/>
            <w:left w:val="none" w:sz="0" w:space="0" w:color="auto"/>
            <w:bottom w:val="none" w:sz="0" w:space="0" w:color="auto"/>
            <w:right w:val="none" w:sz="0" w:space="0" w:color="auto"/>
          </w:divBdr>
        </w:div>
        <w:div w:id="1344822712">
          <w:marLeft w:val="1166"/>
          <w:marRight w:val="0"/>
          <w:marTop w:val="58"/>
          <w:marBottom w:val="0"/>
          <w:divBdr>
            <w:top w:val="none" w:sz="0" w:space="0" w:color="auto"/>
            <w:left w:val="none" w:sz="0" w:space="0" w:color="auto"/>
            <w:bottom w:val="none" w:sz="0" w:space="0" w:color="auto"/>
            <w:right w:val="none" w:sz="0" w:space="0" w:color="auto"/>
          </w:divBdr>
        </w:div>
        <w:div w:id="2036535021">
          <w:marLeft w:val="1166"/>
          <w:marRight w:val="0"/>
          <w:marTop w:val="58"/>
          <w:marBottom w:val="0"/>
          <w:divBdr>
            <w:top w:val="none" w:sz="0" w:space="0" w:color="auto"/>
            <w:left w:val="none" w:sz="0" w:space="0" w:color="auto"/>
            <w:bottom w:val="none" w:sz="0" w:space="0" w:color="auto"/>
            <w:right w:val="none" w:sz="0" w:space="0" w:color="auto"/>
          </w:divBdr>
        </w:div>
        <w:div w:id="440497259">
          <w:marLeft w:val="1166"/>
          <w:marRight w:val="0"/>
          <w:marTop w:val="58"/>
          <w:marBottom w:val="0"/>
          <w:divBdr>
            <w:top w:val="none" w:sz="0" w:space="0" w:color="auto"/>
            <w:left w:val="none" w:sz="0" w:space="0" w:color="auto"/>
            <w:bottom w:val="none" w:sz="0" w:space="0" w:color="auto"/>
            <w:right w:val="none" w:sz="0" w:space="0" w:color="auto"/>
          </w:divBdr>
        </w:div>
        <w:div w:id="345637789">
          <w:marLeft w:val="547"/>
          <w:marRight w:val="0"/>
          <w:marTop w:val="0"/>
          <w:marBottom w:val="0"/>
          <w:divBdr>
            <w:top w:val="none" w:sz="0" w:space="0" w:color="auto"/>
            <w:left w:val="none" w:sz="0" w:space="0" w:color="auto"/>
            <w:bottom w:val="none" w:sz="0" w:space="0" w:color="auto"/>
            <w:right w:val="none" w:sz="0" w:space="0" w:color="auto"/>
          </w:divBdr>
        </w:div>
        <w:div w:id="212621659">
          <w:marLeft w:val="1166"/>
          <w:marRight w:val="0"/>
          <w:marTop w:val="58"/>
          <w:marBottom w:val="0"/>
          <w:divBdr>
            <w:top w:val="none" w:sz="0" w:space="0" w:color="auto"/>
            <w:left w:val="none" w:sz="0" w:space="0" w:color="auto"/>
            <w:bottom w:val="none" w:sz="0" w:space="0" w:color="auto"/>
            <w:right w:val="none" w:sz="0" w:space="0" w:color="auto"/>
          </w:divBdr>
        </w:div>
        <w:div w:id="1945184060">
          <w:marLeft w:val="547"/>
          <w:marRight w:val="0"/>
          <w:marTop w:val="0"/>
          <w:marBottom w:val="0"/>
          <w:divBdr>
            <w:top w:val="none" w:sz="0" w:space="0" w:color="auto"/>
            <w:left w:val="none" w:sz="0" w:space="0" w:color="auto"/>
            <w:bottom w:val="none" w:sz="0" w:space="0" w:color="auto"/>
            <w:right w:val="none" w:sz="0" w:space="0" w:color="auto"/>
          </w:divBdr>
        </w:div>
        <w:div w:id="598565677">
          <w:marLeft w:val="1166"/>
          <w:marRight w:val="0"/>
          <w:marTop w:val="58"/>
          <w:marBottom w:val="0"/>
          <w:divBdr>
            <w:top w:val="none" w:sz="0" w:space="0" w:color="auto"/>
            <w:left w:val="none" w:sz="0" w:space="0" w:color="auto"/>
            <w:bottom w:val="none" w:sz="0" w:space="0" w:color="auto"/>
            <w:right w:val="none" w:sz="0" w:space="0" w:color="auto"/>
          </w:divBdr>
        </w:div>
        <w:div w:id="21562843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e.edu.pl/component/phocadownload/category/114-publikacje?download=939:wskaniki-owiatow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ore.edu.pl/component/phocadownload/category/114-publikacje?download=939:wskaniki-owiat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zysztof\Documents\Niestandardowe%20szablony%20pakietu%20Office\M&#243;j%20szablon.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5D9DB-2372-47A5-B8BA-CCBDD825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Mój szablon</Template>
  <TotalTime>8</TotalTime>
  <Pages>38</Pages>
  <Words>11824</Words>
  <Characters>70947</Characters>
  <Application>Microsoft Office Word</Application>
  <DocSecurity>0</DocSecurity>
  <Lines>591</Lines>
  <Paragraphs>165</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Microsoft</Company>
  <LinksUpToDate>false</LinksUpToDate>
  <CharactersWithSpaces>82606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Jaszczot</dc:creator>
  <cp:lastModifiedBy>ala</cp:lastModifiedBy>
  <cp:revision>6</cp:revision>
  <dcterms:created xsi:type="dcterms:W3CDTF">2017-10-19T10:03:00Z</dcterms:created>
  <dcterms:modified xsi:type="dcterms:W3CDTF">2017-10-20T10:25:00Z</dcterms:modified>
</cp:coreProperties>
</file>